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F6801" w14:textId="678F4206" w:rsidR="00FA76EC" w:rsidRPr="000D2EEF" w:rsidRDefault="00FA76EC">
      <w:pPr>
        <w:rPr>
          <w:b/>
          <w:bCs/>
          <w:sz w:val="28"/>
          <w:szCs w:val="28"/>
          <w:lang w:val="en-GB"/>
        </w:rPr>
      </w:pPr>
      <w:r w:rsidRPr="000D2EEF">
        <w:rPr>
          <w:b/>
          <w:bCs/>
          <w:sz w:val="28"/>
          <w:szCs w:val="28"/>
          <w:lang w:val="en-GB"/>
        </w:rPr>
        <w:t>Determinants of Health Factors in Indigenous Australians</w:t>
      </w:r>
    </w:p>
    <w:p w14:paraId="3D03BFF3" w14:textId="1802B886" w:rsidR="0027116F" w:rsidRPr="000D2EEF" w:rsidRDefault="00FA76EC" w:rsidP="000D2EEF">
      <w:pPr>
        <w:autoSpaceDE w:val="0"/>
        <w:autoSpaceDN w:val="0"/>
        <w:adjustRightInd w:val="0"/>
        <w:rPr>
          <w:b/>
          <w:bCs/>
          <w:lang w:val="en-GB"/>
        </w:rPr>
      </w:pPr>
      <w:r w:rsidRPr="000D2EEF">
        <w:rPr>
          <w:b/>
          <w:bCs/>
          <w:lang w:val="en-GB"/>
        </w:rPr>
        <w:t>Introduction</w:t>
      </w:r>
    </w:p>
    <w:p w14:paraId="00435A11" w14:textId="2F7E243E" w:rsidR="00FA76EC" w:rsidRPr="00D22D4E" w:rsidRDefault="00D21615" w:rsidP="009B7316">
      <w:pPr>
        <w:jc w:val="both"/>
        <w:rPr>
          <w:color w:val="000000" w:themeColor="text1"/>
          <w:lang w:val="en-US"/>
        </w:rPr>
      </w:pPr>
      <w:r w:rsidRPr="00D22D4E">
        <w:rPr>
          <w:color w:val="000000" w:themeColor="text1"/>
          <w:lang w:val="en-GB"/>
        </w:rPr>
        <w:t xml:space="preserve">Aboriginal and Torres Strait Islanders are Indigenous Australians who have been living in Australia and the adjacent islands before British colonization. </w:t>
      </w:r>
      <w:r w:rsidR="00986AD6" w:rsidRPr="00D22D4E">
        <w:rPr>
          <w:color w:val="000000" w:themeColor="text1"/>
          <w:lang w:val="en-GB"/>
        </w:rPr>
        <w:t xml:space="preserve">These communities are culturally and linguistically diverse </w:t>
      </w:r>
      <w:r w:rsidR="00986AD6" w:rsidRPr="00D22D4E">
        <w:rPr>
          <w:color w:val="000000" w:themeColor="text1"/>
          <w:lang w:val="en-GB"/>
        </w:rPr>
        <w:fldChar w:fldCharType="begin" w:fldLock="1"/>
      </w:r>
      <w:r w:rsidR="00D63AC8" w:rsidRPr="00D22D4E">
        <w:rPr>
          <w:color w:val="000000" w:themeColor="text1"/>
          <w:lang w:val="en-GB"/>
        </w:rPr>
        <w:instrText>ADDIN CSL_CITATION {"citationItems":[{"id":"ITEM-1","itemData":{"DOI":"10.1186/s12939-014-0091-5","ISSN":"1475-9276","abstract":"Aboriginal Australians are a culturally, linguistically and experientially diverse population, for whom national statistics may mask important geographic differences in their health and the determinants of their health. We sought to identify the determinants of health of Aboriginal adults who lived in the state of Victoria, compared with their non-Aboriginal counterparts.","author":[{"dropping-particle":"","family":"Markwick","given":"Alison","non-dropping-particle":"","parse-names":false,"suffix":""},{"dropping-particle":"","family":"Ansari","given":"Zahid","non-dropping-particle":"","parse-names":false,"suffix":""},{"dropping-particle":"","family":"Sullivan","given":"Mary","non-dropping-particle":"","parse-names":false,"suffix":""},{"dropping-particle":"","family":"Parsons","given":"Lorraine","non-dropping-particle":"","parse-names":false,"suffix":""},{"dropping-particle":"","family":"McNeil","given":"John","non-dropping-particle":"","parse-names":false,"suffix":""}],"container-title":"International Journal for Equity in Health","id":"ITEM-1","issue":"1","issued":{"date-parts":[["2014"]]},"page":"91","title":"Inequalities in the social determinants of health of Aboriginal and Torres Strait Islander People: a cross-sectional population-based study in the Australian state of Victoria","type":"article-journal","volume":"13"},"uris":["http://www.mendeley.com/documents/?uuid=59774a2a-cc91-4dc9-8a3f-6ffbc11ef9c7"]}],"mendeley":{"formattedCitation":"(Markwick &lt;i&gt;et al.&lt;/i&gt;, 2014)","plainTextFormattedCitation":"(Markwick et al., 2014)","previouslyFormattedCitation":"(Markwick &lt;i&gt;et al.&lt;/i&gt;, 2014)"},"properties":{"noteIndex":0},"schema":"https://github.com/citation-style-language/schema/raw/master/csl-citation.json"}</w:instrText>
      </w:r>
      <w:r w:rsidR="00986AD6" w:rsidRPr="00D22D4E">
        <w:rPr>
          <w:color w:val="000000" w:themeColor="text1"/>
          <w:lang w:val="en-GB"/>
        </w:rPr>
        <w:fldChar w:fldCharType="separate"/>
      </w:r>
      <w:r w:rsidR="00986AD6" w:rsidRPr="00D22D4E">
        <w:rPr>
          <w:noProof/>
          <w:color w:val="000000" w:themeColor="text1"/>
          <w:lang w:val="en-GB"/>
        </w:rPr>
        <w:t xml:space="preserve">(Markwick </w:t>
      </w:r>
      <w:r w:rsidR="00986AD6" w:rsidRPr="00D22D4E">
        <w:rPr>
          <w:i/>
          <w:noProof/>
          <w:color w:val="000000" w:themeColor="text1"/>
          <w:lang w:val="en-GB"/>
        </w:rPr>
        <w:t>et al.</w:t>
      </w:r>
      <w:r w:rsidR="00986AD6" w:rsidRPr="00D22D4E">
        <w:rPr>
          <w:noProof/>
          <w:color w:val="000000" w:themeColor="text1"/>
          <w:lang w:val="en-GB"/>
        </w:rPr>
        <w:t>, 2014)</w:t>
      </w:r>
      <w:r w:rsidR="00986AD6" w:rsidRPr="00D22D4E">
        <w:rPr>
          <w:color w:val="000000" w:themeColor="text1"/>
          <w:lang w:val="en-GB"/>
        </w:rPr>
        <w:fldChar w:fldCharType="end"/>
      </w:r>
      <w:r w:rsidR="00986AD6" w:rsidRPr="00D22D4E">
        <w:rPr>
          <w:color w:val="000000" w:themeColor="text1"/>
          <w:lang w:val="en-GB"/>
        </w:rPr>
        <w:t xml:space="preserve">. </w:t>
      </w:r>
      <w:r w:rsidR="00C33E5E" w:rsidRPr="00D22D4E">
        <w:rPr>
          <w:color w:val="000000" w:themeColor="text1"/>
          <w:lang w:val="en-GB"/>
        </w:rPr>
        <w:t xml:space="preserve">As compared to other Australians (Non-Indigenous), these communities have been facing difficulties and are being discriminated across </w:t>
      </w:r>
      <w:r w:rsidR="008A2052" w:rsidRPr="00D22D4E">
        <w:rPr>
          <w:color w:val="000000" w:themeColor="text1"/>
          <w:lang w:val="en-GB"/>
        </w:rPr>
        <w:t xml:space="preserve">an extensive range of socioeconomic determinants </w:t>
      </w:r>
      <w:r w:rsidR="008A2052" w:rsidRPr="00D22D4E">
        <w:rPr>
          <w:color w:val="000000" w:themeColor="text1"/>
          <w:lang w:val="en-GB"/>
        </w:rPr>
        <w:fldChar w:fldCharType="begin" w:fldLock="1"/>
      </w:r>
      <w:r w:rsidR="00986AD6" w:rsidRPr="00D22D4E">
        <w:rPr>
          <w:color w:val="000000" w:themeColor="text1"/>
          <w:lang w:val="en-GB"/>
        </w:rPr>
        <w:instrText>ADDIN CSL_CITATION {"citationItems":[{"id":"ITEM-1","itemData":{"ISSN":"1326-5377","author":[{"dropping-particle":"","family":"Marmot","given":"Michael","non-dropping-particle":"","parse-names":false,"suffix":""}],"container-title":"Med J Aust","id":"ITEM-1","issue":"10","issued":{"date-parts":[["2011"]]},"page":"512-513","title":"Social determinants and the health of Indigenous Australians","type":"article-journal","volume":"194"},"uris":["http://www.mendeley.com/documents/?uuid=3555bc39-750e-4c2e-9a43-9844ebb19819"]}],"mendeley":{"formattedCitation":"(Marmot, 2011)","plainTextFormattedCitation":"(Marmot, 2011)","previouslyFormattedCitation":"(Marmot, 2011)"},"properties":{"noteIndex":0},"schema":"https://github.com/citation-style-language/schema/raw/master/csl-citation.json"}</w:instrText>
      </w:r>
      <w:r w:rsidR="008A2052" w:rsidRPr="00D22D4E">
        <w:rPr>
          <w:color w:val="000000" w:themeColor="text1"/>
          <w:lang w:val="en-GB"/>
        </w:rPr>
        <w:fldChar w:fldCharType="separate"/>
      </w:r>
      <w:r w:rsidR="008A2052" w:rsidRPr="00D22D4E">
        <w:rPr>
          <w:noProof/>
          <w:color w:val="000000" w:themeColor="text1"/>
          <w:lang w:val="en-GB"/>
        </w:rPr>
        <w:t>(Marmot, 2011)</w:t>
      </w:r>
      <w:r w:rsidR="008A2052" w:rsidRPr="00D22D4E">
        <w:rPr>
          <w:color w:val="000000" w:themeColor="text1"/>
          <w:lang w:val="en-GB"/>
        </w:rPr>
        <w:fldChar w:fldCharType="end"/>
      </w:r>
      <w:r w:rsidR="008A2052" w:rsidRPr="00D22D4E">
        <w:rPr>
          <w:color w:val="000000" w:themeColor="text1"/>
          <w:lang w:val="en-GB"/>
        </w:rPr>
        <w:t xml:space="preserve">. </w:t>
      </w:r>
      <w:r w:rsidR="00986AD6" w:rsidRPr="00D22D4E">
        <w:rPr>
          <w:color w:val="000000" w:themeColor="text1"/>
          <w:lang w:val="en-GB"/>
        </w:rPr>
        <w:t>Socioeconomic det</w:t>
      </w:r>
      <w:r w:rsidR="004D77CF">
        <w:rPr>
          <w:color w:val="000000" w:themeColor="text1"/>
          <w:lang w:val="en-GB"/>
        </w:rPr>
        <w:t>erm</w:t>
      </w:r>
      <w:r w:rsidR="00986AD6" w:rsidRPr="00D22D4E">
        <w:rPr>
          <w:color w:val="000000" w:themeColor="text1"/>
          <w:lang w:val="en-GB"/>
        </w:rPr>
        <w:t>i</w:t>
      </w:r>
      <w:r w:rsidR="004D77CF">
        <w:rPr>
          <w:color w:val="000000" w:themeColor="text1"/>
          <w:lang w:val="en-GB"/>
        </w:rPr>
        <w:t>nants</w:t>
      </w:r>
      <w:r w:rsidR="00986AD6" w:rsidRPr="00D22D4E">
        <w:rPr>
          <w:color w:val="000000" w:themeColor="text1"/>
          <w:lang w:val="en-GB"/>
        </w:rPr>
        <w:t xml:space="preserve"> of health (SDH) are the factors that can be determined by </w:t>
      </w:r>
      <w:r w:rsidR="00986AD6" w:rsidRPr="00D22D4E">
        <w:rPr>
          <w:color w:val="000000" w:themeColor="text1"/>
          <w:shd w:val="clear" w:color="auto" w:fill="FFFFFF"/>
        </w:rPr>
        <w:t>social policies</w:t>
      </w:r>
      <w:r w:rsidR="004D77CF">
        <w:rPr>
          <w:color w:val="000000" w:themeColor="text1"/>
          <w:shd w:val="clear" w:color="auto" w:fill="FFFFFF"/>
          <w:lang w:val="en-US"/>
        </w:rPr>
        <w:t>,</w:t>
      </w:r>
      <w:r w:rsidR="00986AD6" w:rsidRPr="00D22D4E">
        <w:rPr>
          <w:color w:val="000000" w:themeColor="text1"/>
          <w:shd w:val="clear" w:color="auto" w:fill="FFFFFF"/>
        </w:rPr>
        <w:t xml:space="preserve"> and </w:t>
      </w:r>
      <w:r w:rsidR="00986AD6" w:rsidRPr="00D22D4E">
        <w:rPr>
          <w:color w:val="000000" w:themeColor="text1"/>
          <w:shd w:val="clear" w:color="auto" w:fill="FFFFFF"/>
          <w:lang w:val="en-US"/>
        </w:rPr>
        <w:t>configure</w:t>
      </w:r>
      <w:r w:rsidR="00986AD6" w:rsidRPr="00D22D4E">
        <w:rPr>
          <w:color w:val="000000" w:themeColor="text1"/>
          <w:shd w:val="clear" w:color="auto" w:fill="FFFFFF"/>
        </w:rPr>
        <w:t xml:space="preserve"> health in </w:t>
      </w:r>
      <w:r w:rsidR="00986AD6" w:rsidRPr="00D22D4E">
        <w:rPr>
          <w:color w:val="000000" w:themeColor="text1"/>
          <w:shd w:val="clear" w:color="auto" w:fill="FFFFFF"/>
          <w:lang w:val="en-US"/>
        </w:rPr>
        <w:t>influential ways</w:t>
      </w:r>
      <w:r w:rsidR="00D63AC8" w:rsidRPr="00D22D4E">
        <w:rPr>
          <w:color w:val="000000" w:themeColor="text1"/>
          <w:shd w:val="clear" w:color="auto" w:fill="FFFFFF"/>
          <w:lang w:val="en-US"/>
        </w:rPr>
        <w:t xml:space="preserve"> </w:t>
      </w:r>
      <w:r w:rsidR="00D63AC8" w:rsidRPr="00D22D4E">
        <w:rPr>
          <w:color w:val="000000" w:themeColor="text1"/>
          <w:shd w:val="clear" w:color="auto" w:fill="FFFFFF"/>
          <w:lang w:val="en-US"/>
        </w:rPr>
        <w:fldChar w:fldCharType="begin" w:fldLock="1"/>
      </w:r>
      <w:r w:rsidR="006B0405" w:rsidRPr="00D22D4E">
        <w:rPr>
          <w:color w:val="000000" w:themeColor="text1"/>
          <w:shd w:val="clear" w:color="auto" w:fill="FFFFFF"/>
          <w:lang w:val="en-US"/>
        </w:rPr>
        <w:instrText>ADDIN CSL_CITATION {"citationItems":[{"id":"ITEM-1","itemData":{"DOI":"10.1177/00333549141291S206","ISSN":"1468-2877","abstract":"During the past two decades, the public health community's attention has been drawn increasingly to the social determinants of health (SDH)-the factors apart from medical care that can be influenced by social policies and shape health in powerful ways. We use \"medical care\" rather than \"health care\" to refer to clinical services, to avoid potential confusion between \"health\" and \"health care.\" The World Health Organization's Commission on the Social Determinants of Health has defined SDH as \"the conditions in which people are born, grow, live, work and age\" and \"the fundamental drivers of these conditions.\" The term \"social determinants\" often evokes factors such as health-related features of neighborhoods (e.g., walkability, recreational areas, and accessibility of healthful foods), which can influence health-related behaviors. Evidence has accumulated, however, pointing to socioeconomic factors such as income, wealth, and education as the fundamental causes of a wide range of health outcomes. This article broadly reviews some of the knowledge accumulated to date that highlights the importance of social-and particularly socioeconomic-factors in shaping health, and plausible pathways and biological mechanisms that may explain their effects. We also discuss challenges to advancing this knowledge and how they might be overcome.","author":[{"dropping-particle":"","family":"Braveman","given":"Paula","non-dropping-particle":"","parse-names":false,"suffix":""},{"dropping-particle":"","family":"Gottlieb","given":"Laura","non-dropping-particle":"","parse-names":false,"suffix":""}],"container-title":"Public health reports (Washington, D.C. : 1974)","id":"ITEM-1","issue":"Suppl 2","issued":{"date-parts":[["2014"]]},"language":"eng","page":"19-31","publisher":"Association of Schools of Public Health","title":"The social determinants of health: it's time to consider the causes of the causes","type":"article-journal","volume":"129 Suppl 2"},"uris":["http://www.mendeley.com/documents/?uuid=d4331281-3f51-457f-af65-12d8c51f5ebc"]}],"mendeley":{"formattedCitation":"(Braveman and Gottlieb, 2014)","plainTextFormattedCitation":"(Braveman and Gottlieb, 2014)","previouslyFormattedCitation":"(Braveman and Gottlieb, 2014)"},"properties":{"noteIndex":0},"schema":"https://github.com/citation-style-language/schema/raw/master/csl-citation.json"}</w:instrText>
      </w:r>
      <w:r w:rsidR="00D63AC8" w:rsidRPr="00D22D4E">
        <w:rPr>
          <w:color w:val="000000" w:themeColor="text1"/>
          <w:shd w:val="clear" w:color="auto" w:fill="FFFFFF"/>
          <w:lang w:val="en-US"/>
        </w:rPr>
        <w:fldChar w:fldCharType="separate"/>
      </w:r>
      <w:r w:rsidR="00D63AC8" w:rsidRPr="00D22D4E">
        <w:rPr>
          <w:noProof/>
          <w:color w:val="000000" w:themeColor="text1"/>
          <w:shd w:val="clear" w:color="auto" w:fill="FFFFFF"/>
          <w:lang w:val="en-US"/>
        </w:rPr>
        <w:t>(Braveman and Gottlieb, 2014)</w:t>
      </w:r>
      <w:r w:rsidR="00D63AC8" w:rsidRPr="00D22D4E">
        <w:rPr>
          <w:color w:val="000000" w:themeColor="text1"/>
          <w:shd w:val="clear" w:color="auto" w:fill="FFFFFF"/>
          <w:lang w:val="en-US"/>
        </w:rPr>
        <w:fldChar w:fldCharType="end"/>
      </w:r>
      <w:r w:rsidR="00986AD6" w:rsidRPr="00D22D4E">
        <w:rPr>
          <w:color w:val="000000" w:themeColor="text1"/>
          <w:shd w:val="clear" w:color="auto" w:fill="FFFFFF"/>
          <w:lang w:val="en-US"/>
        </w:rPr>
        <w:t xml:space="preserve">. According to </w:t>
      </w:r>
      <w:r w:rsidR="00C67A10">
        <w:rPr>
          <w:color w:val="000000" w:themeColor="text1"/>
          <w:shd w:val="clear" w:color="auto" w:fill="FFFFFF"/>
          <w:lang w:val="en-US"/>
        </w:rPr>
        <w:t xml:space="preserve">the </w:t>
      </w:r>
      <w:r w:rsidR="00986AD6" w:rsidRPr="00D22D4E">
        <w:rPr>
          <w:color w:val="000000" w:themeColor="text1"/>
          <w:lang w:val="en-GB"/>
        </w:rPr>
        <w:t>World Health Organization</w:t>
      </w:r>
      <w:r w:rsidR="00986AD6" w:rsidRPr="00D22D4E">
        <w:rPr>
          <w:color w:val="000000" w:themeColor="text1"/>
          <w:lang w:val="en-GB"/>
        </w:rPr>
        <w:t xml:space="preserve"> (WHO), SDH are also the conditions, in which a person live, grow and work</w:t>
      </w:r>
      <w:r w:rsidR="00586FD5" w:rsidRPr="00D22D4E">
        <w:rPr>
          <w:color w:val="000000" w:themeColor="text1"/>
          <w:lang w:val="en-GB"/>
        </w:rPr>
        <w:t xml:space="preserve"> (WHO, 2013)</w:t>
      </w:r>
      <w:r w:rsidR="00986AD6" w:rsidRPr="00D22D4E">
        <w:rPr>
          <w:color w:val="000000" w:themeColor="text1"/>
          <w:lang w:val="en-GB"/>
        </w:rPr>
        <w:t xml:space="preserve">. </w:t>
      </w:r>
      <w:r w:rsidR="009B7316" w:rsidRPr="00D22D4E">
        <w:rPr>
          <w:color w:val="000000" w:themeColor="text1"/>
          <w:lang w:val="en-GB"/>
        </w:rPr>
        <w:t>In this</w:t>
      </w:r>
      <w:r w:rsidR="00986AD6" w:rsidRPr="00D22D4E">
        <w:rPr>
          <w:color w:val="000000" w:themeColor="text1"/>
          <w:lang w:val="en-GB"/>
        </w:rPr>
        <w:t xml:space="preserve"> essay the </w:t>
      </w:r>
      <w:r w:rsidR="00D63AC8" w:rsidRPr="00D22D4E">
        <w:rPr>
          <w:color w:val="000000" w:themeColor="text1"/>
          <w:lang w:val="en-GB"/>
        </w:rPr>
        <w:t>determinants of health factors</w:t>
      </w:r>
      <w:r w:rsidR="009B7316" w:rsidRPr="00D22D4E">
        <w:rPr>
          <w:color w:val="000000" w:themeColor="text1"/>
          <w:lang w:val="en-GB"/>
        </w:rPr>
        <w:t xml:space="preserve"> will be discussed (Housing, Transport, Employment, and Education) in </w:t>
      </w:r>
      <w:r w:rsidR="00D63AC8" w:rsidRPr="00D22D4E">
        <w:rPr>
          <w:color w:val="000000" w:themeColor="text1"/>
          <w:lang w:val="en-GB"/>
        </w:rPr>
        <w:t>Indigenous Australians</w:t>
      </w:r>
      <w:r w:rsidR="009B7316" w:rsidRPr="00D22D4E">
        <w:rPr>
          <w:color w:val="000000" w:themeColor="text1"/>
          <w:lang w:val="en-GB"/>
        </w:rPr>
        <w:t xml:space="preserve">. </w:t>
      </w:r>
      <w:r w:rsidR="00D63AC8" w:rsidRPr="00D22D4E">
        <w:rPr>
          <w:color w:val="000000" w:themeColor="text1"/>
          <w:lang w:val="en-GB"/>
        </w:rPr>
        <w:t xml:space="preserve">Also, the impact of these factors on the lives of </w:t>
      </w:r>
      <w:r w:rsidR="00D63AC8" w:rsidRPr="00D22D4E">
        <w:rPr>
          <w:color w:val="000000" w:themeColor="text1"/>
          <w:lang w:val="en-GB"/>
        </w:rPr>
        <w:t>Indigenous Australians</w:t>
      </w:r>
      <w:r w:rsidR="00D63AC8" w:rsidRPr="00D22D4E">
        <w:rPr>
          <w:color w:val="000000" w:themeColor="text1"/>
          <w:lang w:val="en-GB"/>
        </w:rPr>
        <w:t>, and the plans made by the Australian Government to address these issues will be discussed.</w:t>
      </w:r>
    </w:p>
    <w:p w14:paraId="56FDE2A3" w14:textId="1F0CCFDA" w:rsidR="00FA76EC" w:rsidRPr="000D2EEF" w:rsidRDefault="00FA76EC" w:rsidP="00BD2E3C">
      <w:pPr>
        <w:autoSpaceDE w:val="0"/>
        <w:autoSpaceDN w:val="0"/>
        <w:adjustRightInd w:val="0"/>
        <w:rPr>
          <w:b/>
          <w:bCs/>
          <w:color w:val="000000" w:themeColor="text1"/>
          <w:lang w:val="en-GB"/>
        </w:rPr>
      </w:pPr>
      <w:r w:rsidRPr="000D2EEF">
        <w:rPr>
          <w:b/>
          <w:bCs/>
          <w:color w:val="000000" w:themeColor="text1"/>
          <w:lang w:val="en-GB"/>
        </w:rPr>
        <w:t>Determinants of health factors in indigenous Australians</w:t>
      </w:r>
    </w:p>
    <w:p w14:paraId="7E2F3CE0" w14:textId="46BC6578" w:rsidR="009B7316" w:rsidRPr="000D2EEF" w:rsidRDefault="009B7316" w:rsidP="006B0405">
      <w:pPr>
        <w:pStyle w:val="ListParagraph"/>
        <w:numPr>
          <w:ilvl w:val="0"/>
          <w:numId w:val="1"/>
        </w:numPr>
        <w:autoSpaceDE w:val="0"/>
        <w:autoSpaceDN w:val="0"/>
        <w:adjustRightInd w:val="0"/>
        <w:rPr>
          <w:b/>
          <w:bCs/>
          <w:color w:val="000000" w:themeColor="text1"/>
          <w:lang w:val="en-GB"/>
        </w:rPr>
      </w:pPr>
      <w:r w:rsidRPr="000D2EEF">
        <w:rPr>
          <w:b/>
          <w:bCs/>
          <w:color w:val="000000" w:themeColor="text1"/>
          <w:lang w:val="en-GB"/>
        </w:rPr>
        <w:t>Education</w:t>
      </w:r>
    </w:p>
    <w:p w14:paraId="5C045BAF" w14:textId="2A4ABF97" w:rsidR="00233CDF" w:rsidRPr="00D22D4E" w:rsidRDefault="006B0405" w:rsidP="00C05339">
      <w:pPr>
        <w:jc w:val="both"/>
        <w:rPr>
          <w:rFonts w:asciiTheme="majorBidi" w:hAnsiTheme="majorBidi" w:cstheme="majorBidi"/>
          <w:color w:val="000000" w:themeColor="text1"/>
          <w:lang w:val="en-US"/>
        </w:rPr>
      </w:pPr>
      <w:r w:rsidRPr="00D22D4E">
        <w:rPr>
          <w:rFonts w:asciiTheme="majorBidi" w:hAnsiTheme="majorBidi" w:cstheme="majorBidi"/>
          <w:color w:val="000000" w:themeColor="text1"/>
        </w:rPr>
        <w:t xml:space="preserve">Education </w:t>
      </w:r>
      <w:r w:rsidR="00F03CB8" w:rsidRPr="00D22D4E">
        <w:rPr>
          <w:rFonts w:asciiTheme="majorBidi" w:hAnsiTheme="majorBidi" w:cstheme="majorBidi"/>
          <w:color w:val="000000" w:themeColor="text1"/>
          <w:lang w:val="en-US"/>
        </w:rPr>
        <w:t xml:space="preserve">is considered as one of the most vital factors in shaping the quality of life across the Western world. Education has been acknowledged </w:t>
      </w:r>
      <w:r w:rsidR="004D77CF">
        <w:rPr>
          <w:rFonts w:asciiTheme="majorBidi" w:hAnsiTheme="majorBidi" w:cstheme="majorBidi"/>
          <w:color w:val="000000" w:themeColor="text1"/>
          <w:lang w:val="en-US"/>
        </w:rPr>
        <w:t>an important</w:t>
      </w:r>
      <w:r w:rsidR="00F03CB8" w:rsidRPr="00D22D4E">
        <w:rPr>
          <w:rFonts w:asciiTheme="majorBidi" w:hAnsiTheme="majorBidi" w:cstheme="majorBidi"/>
          <w:color w:val="000000" w:themeColor="text1"/>
          <w:lang w:val="en-US"/>
        </w:rPr>
        <w:t xml:space="preserve"> intervention for deciphering the discrimination faced by culturally and linguistically diverse backgrounds. Many long-term  imparities can be resolved</w:t>
      </w:r>
      <w:r w:rsidR="00586FD5" w:rsidRPr="00D22D4E">
        <w:rPr>
          <w:rFonts w:asciiTheme="majorBidi" w:hAnsiTheme="majorBidi" w:cstheme="majorBidi"/>
          <w:color w:val="000000" w:themeColor="text1"/>
          <w:lang w:val="en-US"/>
        </w:rPr>
        <w:t xml:space="preserve"> by the very education systems, which are considered as the powerful tools to rectify such imparities </w:t>
      </w:r>
      <w:r w:rsidRPr="00D22D4E">
        <w:rPr>
          <w:rFonts w:asciiTheme="majorBidi" w:hAnsiTheme="majorBidi" w:cstheme="majorBidi"/>
          <w:color w:val="000000" w:themeColor="text1"/>
        </w:rPr>
        <w:fldChar w:fldCharType="begin" w:fldLock="1"/>
      </w:r>
      <w:r w:rsidRPr="00D22D4E">
        <w:rPr>
          <w:rFonts w:asciiTheme="majorBidi" w:hAnsiTheme="majorBidi" w:cstheme="majorBidi"/>
          <w:color w:val="000000" w:themeColor="text1"/>
        </w:rPr>
        <w:instrText>ADDIN CSL_CITATION {"citationItems":[{"id":"ITEM-1","itemData":{"DOI":"10.1080/13613324.2014.969224","ISSN":"1361-3324","author":[{"dropping-particle":"","family":"Bodkin-Andrews","given":"Gawaian","non-dropping-particle":"","parse-names":false,"suffix":""},{"dropping-particle":"","family":"Carlson","given":"Bronwyn","non-dropping-particle":"","parse-names":false,"suffix":""}],"container-title":"Race Ethnicity and Education","id":"ITEM-1","issue":"4","issued":{"date-parts":[["2016","7","3"]]},"note":"doi: 10.1080/13613324.2014.969224","page":"784-807","publisher":"Routledge","title":"The legacy of racism and Indigenous Australian identity within education","type":"article-journal","volume":"19"},"uris":["http://www.mendeley.com/documents/?uuid=e78664d0-45b7-4dc3-a1c0-f2c481128d94"]}],"mendeley":{"formattedCitation":"(Bodkin-Andrews and Carlson, 2016)","plainTextFormattedCitation":"(Bodkin-Andrews and Carlson, 2016)","previouslyFormattedCitation":"(Bodkin-Andrews and Carlson, 2016)"},"properties":{"noteIndex":0},"schema":"https://github.com/citation-style-language/schema/raw/master/csl-citation.json"}</w:instrText>
      </w:r>
      <w:r w:rsidRPr="00D22D4E">
        <w:rPr>
          <w:rFonts w:asciiTheme="majorBidi" w:hAnsiTheme="majorBidi" w:cstheme="majorBidi"/>
          <w:color w:val="000000" w:themeColor="text1"/>
        </w:rPr>
        <w:fldChar w:fldCharType="separate"/>
      </w:r>
      <w:r w:rsidRPr="00D22D4E">
        <w:rPr>
          <w:rFonts w:asciiTheme="majorBidi" w:hAnsiTheme="majorBidi" w:cstheme="majorBidi"/>
          <w:noProof/>
          <w:color w:val="000000" w:themeColor="text1"/>
        </w:rPr>
        <w:t>(Bodkin-Andrews and Carlson, 2016)</w:t>
      </w:r>
      <w:r w:rsidRPr="00D22D4E">
        <w:rPr>
          <w:rFonts w:asciiTheme="majorBidi" w:hAnsiTheme="majorBidi" w:cstheme="majorBidi"/>
          <w:color w:val="000000" w:themeColor="text1"/>
        </w:rPr>
        <w:fldChar w:fldCharType="end"/>
      </w:r>
      <w:r w:rsidR="00586FD5" w:rsidRPr="00D22D4E">
        <w:rPr>
          <w:rFonts w:asciiTheme="majorBidi" w:hAnsiTheme="majorBidi" w:cstheme="majorBidi"/>
          <w:color w:val="000000" w:themeColor="text1"/>
          <w:lang w:val="en-US"/>
        </w:rPr>
        <w:t>. In the matter of human development, the significance of early childhood education cannot be denied. Early childhood education is the foundation for one’s future development, lifelong learning, and learning aptitude.</w:t>
      </w:r>
      <w:r w:rsidR="00FE489B" w:rsidRPr="00D22D4E">
        <w:rPr>
          <w:rFonts w:asciiTheme="majorBidi" w:hAnsiTheme="majorBidi" w:cstheme="majorBidi"/>
          <w:color w:val="000000" w:themeColor="text1"/>
          <w:lang w:val="en-US"/>
        </w:rPr>
        <w:t xml:space="preserve"> This is also linked to good health consequences, </w:t>
      </w:r>
      <w:r w:rsidR="00F1029A" w:rsidRPr="00D22D4E">
        <w:rPr>
          <w:rFonts w:asciiTheme="majorBidi" w:hAnsiTheme="majorBidi" w:cstheme="majorBidi"/>
          <w:color w:val="000000" w:themeColor="text1"/>
          <w:lang w:val="en-US"/>
        </w:rPr>
        <w:t>housing,</w:t>
      </w:r>
      <w:r w:rsidR="00FE489B" w:rsidRPr="00D22D4E">
        <w:rPr>
          <w:rFonts w:asciiTheme="majorBidi" w:hAnsiTheme="majorBidi" w:cstheme="majorBidi"/>
          <w:color w:val="000000" w:themeColor="text1"/>
          <w:lang w:val="en-US"/>
        </w:rPr>
        <w:t xml:space="preserve"> and lifestyle.</w:t>
      </w:r>
      <w:r w:rsidR="00F1029A" w:rsidRPr="00D22D4E">
        <w:rPr>
          <w:rFonts w:asciiTheme="majorBidi" w:hAnsiTheme="majorBidi" w:cstheme="majorBidi"/>
          <w:color w:val="000000" w:themeColor="text1"/>
          <w:lang w:val="en-US"/>
        </w:rPr>
        <w:t xml:space="preserve"> According to American research, life expectancy is also found to be linked to</w:t>
      </w:r>
      <w:r w:rsidR="004D77CF">
        <w:rPr>
          <w:rFonts w:asciiTheme="majorBidi" w:hAnsiTheme="majorBidi" w:cstheme="majorBidi"/>
          <w:color w:val="000000" w:themeColor="text1"/>
          <w:lang w:val="en-US"/>
        </w:rPr>
        <w:t xml:space="preserve"> </w:t>
      </w:r>
      <w:r w:rsidR="00F1029A" w:rsidRPr="00D22D4E">
        <w:rPr>
          <w:rFonts w:asciiTheme="majorBidi" w:hAnsiTheme="majorBidi" w:cstheme="majorBidi"/>
          <w:color w:val="000000" w:themeColor="text1"/>
          <w:lang w:val="en-US"/>
        </w:rPr>
        <w:t xml:space="preserve">education; </w:t>
      </w:r>
      <w:r w:rsidR="004D77CF">
        <w:rPr>
          <w:rFonts w:asciiTheme="majorBidi" w:hAnsiTheme="majorBidi" w:cstheme="majorBidi"/>
          <w:color w:val="000000" w:themeColor="text1"/>
          <w:lang w:val="en-US"/>
        </w:rPr>
        <w:t xml:space="preserve">the </w:t>
      </w:r>
      <w:r w:rsidR="00F1029A" w:rsidRPr="00D22D4E">
        <w:rPr>
          <w:rFonts w:asciiTheme="majorBidi" w:hAnsiTheme="majorBidi" w:cstheme="majorBidi"/>
          <w:color w:val="000000" w:themeColor="text1"/>
          <w:lang w:val="en-US"/>
        </w:rPr>
        <w:t xml:space="preserve">extension of 5 years in life expectancy of individuals having higher education has been observed due to better health </w:t>
      </w:r>
      <w:r w:rsidR="00F1029A" w:rsidRPr="00D22D4E">
        <w:rPr>
          <w:rFonts w:asciiTheme="majorBidi" w:hAnsiTheme="majorBidi" w:cstheme="majorBidi"/>
          <w:color w:val="000000" w:themeColor="text1"/>
          <w:lang w:val="en-US"/>
        </w:rPr>
        <w:fldChar w:fldCharType="begin" w:fldLock="1"/>
      </w:r>
      <w:r w:rsidR="00233CDF" w:rsidRPr="00D22D4E">
        <w:rPr>
          <w:rFonts w:asciiTheme="majorBidi" w:hAnsiTheme="majorBidi" w:cstheme="majorBidi"/>
          <w:color w:val="000000" w:themeColor="text1"/>
          <w:lang w:val="en-US"/>
        </w:rPr>
        <w:instrText>ADDIN CSL_CITATION {"citationItems":[{"id":"ITEM-1","itemData":{"DOI":"10.1186/s41118-019-0055-0","ISSN":"2035-5556","abstract":"Significant reductions in mortality are reflected in strong increases in life expectancy particularly in industrialized countries. Previous analyses relate these improvements primarily to medical innovations and advances in health-related behaviors. Mostly ignored, however, is the question to what extent the gains in life expectancy are related to structural changes in the populations due to increasing education levels. We decompose changes of the total populations’ life expectancy at age 30 in Italy, Denmark, and the USA, over the 20-year period between 1990 and 2010 into the effects of education-specific mortality changes (“M effect”) and changes in the populations’ educational structure (“P effect”). We use the “replacement decomposition technique” to further subdivide the M effect into the contributions by the individual education groups. While most of the increases in life expectancy are due to the effect of changing mortality, a large proportion of improvements in longevity can indeed be attributed to the changing structure of the population by level of education in all three countries. The estimated contribution of the P effect ranges from around 15% for men in the USA to approximately 40% for women in Denmark. This study demonstrates strong associations between education and overall population health, suggesting that education policies can also be seen as indirect health policies.","author":[{"dropping-particle":"","family":"Luy","given":"Marc","non-dropping-particle":"","parse-names":false,"suffix":""},{"dropping-particle":"","family":"Zannella","given":"Marina","non-dropping-particle":"","parse-names":false,"suffix":""},{"dropping-particle":"","family":"Wegner-Siegmundt","given":"Christian","non-dropping-particle":"","parse-names":false,"suffix":""},{"dropping-particle":"","family":"Minagawa","given":"Yuka","non-dropping-particle":"","parse-names":false,"suffix":""},{"dropping-particle":"","family":"Lutz","given":"Wolfgang","non-dropping-particle":"","parse-names":false,"suffix":""},{"dropping-particle":"","family":"Caselli","given":"Graziella","non-dropping-particle":"","parse-names":false,"suffix":""}],"container-title":"Genus","id":"ITEM-1","issue":"1","issued":{"date-parts":[["2019"]]},"page":"11","title":"The impact of increasing education levels on rising life expectancy: a decomposition analysis for Italy, Denmark, and the USA","type":"article-journal","volume":"75"},"uris":["http://www.mendeley.com/documents/?uuid=e1de87b6-399d-47a4-9ddc-f9a2fad65661"]}],"mendeley":{"formattedCitation":"(Luy &lt;i&gt;et al.&lt;/i&gt;, 2019)","plainTextFormattedCitation":"(Luy et al., 2019)","previouslyFormattedCitation":"(Luy &lt;i&gt;et al.&lt;/i&gt;, 2019)"},"properties":{"noteIndex":0},"schema":"https://github.com/citation-style-language/schema/raw/master/csl-citation.json"}</w:instrText>
      </w:r>
      <w:r w:rsidR="00F1029A" w:rsidRPr="00D22D4E">
        <w:rPr>
          <w:rFonts w:asciiTheme="majorBidi" w:hAnsiTheme="majorBidi" w:cstheme="majorBidi"/>
          <w:color w:val="000000" w:themeColor="text1"/>
          <w:lang w:val="en-US"/>
        </w:rPr>
        <w:fldChar w:fldCharType="separate"/>
      </w:r>
      <w:r w:rsidR="00F1029A" w:rsidRPr="00D22D4E">
        <w:rPr>
          <w:rFonts w:asciiTheme="majorBidi" w:hAnsiTheme="majorBidi" w:cstheme="majorBidi"/>
          <w:noProof/>
          <w:color w:val="000000" w:themeColor="text1"/>
          <w:lang w:val="en-US"/>
        </w:rPr>
        <w:t xml:space="preserve">(Luy </w:t>
      </w:r>
      <w:r w:rsidR="00F1029A" w:rsidRPr="00D22D4E">
        <w:rPr>
          <w:rFonts w:asciiTheme="majorBidi" w:hAnsiTheme="majorBidi" w:cstheme="majorBidi"/>
          <w:i/>
          <w:noProof/>
          <w:color w:val="000000" w:themeColor="text1"/>
          <w:lang w:val="en-US"/>
        </w:rPr>
        <w:t>et al.</w:t>
      </w:r>
      <w:r w:rsidR="00F1029A" w:rsidRPr="00D22D4E">
        <w:rPr>
          <w:rFonts w:asciiTheme="majorBidi" w:hAnsiTheme="majorBidi" w:cstheme="majorBidi"/>
          <w:noProof/>
          <w:color w:val="000000" w:themeColor="text1"/>
          <w:lang w:val="en-US"/>
        </w:rPr>
        <w:t>, 2019)</w:t>
      </w:r>
      <w:r w:rsidR="00F1029A" w:rsidRPr="00D22D4E">
        <w:rPr>
          <w:rFonts w:asciiTheme="majorBidi" w:hAnsiTheme="majorBidi" w:cstheme="majorBidi"/>
          <w:color w:val="000000" w:themeColor="text1"/>
          <w:lang w:val="en-US"/>
        </w:rPr>
        <w:fldChar w:fldCharType="end"/>
      </w:r>
      <w:r w:rsidR="00F1029A" w:rsidRPr="00D22D4E">
        <w:rPr>
          <w:rFonts w:asciiTheme="majorBidi" w:hAnsiTheme="majorBidi" w:cstheme="majorBidi"/>
          <w:color w:val="000000" w:themeColor="text1"/>
          <w:lang w:val="en-US"/>
        </w:rPr>
        <w:t>. Educated people tend to live a healthy lifestyle with good socioeconomic consequences</w:t>
      </w:r>
      <w:r w:rsidR="00233CDF" w:rsidRPr="00D22D4E">
        <w:rPr>
          <w:rFonts w:asciiTheme="majorBidi" w:hAnsiTheme="majorBidi" w:cstheme="majorBidi"/>
          <w:color w:val="000000" w:themeColor="text1"/>
          <w:lang w:val="en-US"/>
        </w:rPr>
        <w:t>, physical activity, and social safety</w:t>
      </w:r>
      <w:r w:rsidR="00F1029A" w:rsidRPr="00D22D4E">
        <w:rPr>
          <w:rFonts w:asciiTheme="majorBidi" w:hAnsiTheme="majorBidi" w:cstheme="majorBidi"/>
          <w:color w:val="000000" w:themeColor="text1"/>
          <w:lang w:val="en-US"/>
        </w:rPr>
        <w:t xml:space="preserve">, which in turn lead to the extension in life expectancy. </w:t>
      </w:r>
      <w:r w:rsidR="005A73B5" w:rsidRPr="00D22D4E">
        <w:rPr>
          <w:rFonts w:asciiTheme="majorBidi" w:hAnsiTheme="majorBidi" w:cstheme="majorBidi"/>
          <w:color w:val="000000" w:themeColor="text1"/>
          <w:lang w:val="en-US"/>
        </w:rPr>
        <w:t xml:space="preserve">Evidence estimated that, </w:t>
      </w:r>
      <w:r w:rsidR="004D77CF">
        <w:rPr>
          <w:rFonts w:asciiTheme="majorBidi" w:hAnsiTheme="majorBidi" w:cstheme="majorBidi"/>
          <w:color w:val="000000" w:themeColor="text1"/>
          <w:lang w:val="en-US"/>
        </w:rPr>
        <w:t xml:space="preserve"> </w:t>
      </w:r>
      <w:r w:rsidR="005A73B5" w:rsidRPr="00D22D4E">
        <w:rPr>
          <w:rFonts w:asciiTheme="majorBidi" w:hAnsiTheme="majorBidi" w:cstheme="majorBidi"/>
          <w:color w:val="000000" w:themeColor="text1"/>
          <w:lang w:val="en-US"/>
        </w:rPr>
        <w:t xml:space="preserve">factors such as demographic, risk factors, employment, and behavioral factors demonstrate the efficient and substantial bond between education and life expectancy </w:t>
      </w:r>
      <w:r w:rsidR="00233CDF" w:rsidRPr="00D22D4E">
        <w:rPr>
          <w:rFonts w:asciiTheme="majorBidi" w:hAnsiTheme="majorBidi" w:cstheme="majorBidi"/>
          <w:color w:val="000000" w:themeColor="text1"/>
          <w:lang w:val="en-US"/>
        </w:rPr>
        <w:fldChar w:fldCharType="begin" w:fldLock="1"/>
      </w:r>
      <w:r w:rsidR="00927855" w:rsidRPr="00D22D4E">
        <w:rPr>
          <w:rFonts w:asciiTheme="majorBidi" w:hAnsiTheme="majorBidi" w:cstheme="majorBidi"/>
          <w:color w:val="000000" w:themeColor="text1"/>
          <w:lang w:val="en-US"/>
        </w:rPr>
        <w:instrText>ADDIN CSL_CITATION {"citationItems":[{"id":"ITEM-1","itemData":{"ISSN":"2372-7322","author":[{"dropping-particle":"","family":"Kaplan","given":"Robert M","non-dropping-particle":"","parse-names":false,"suffix":""},{"dropping-particle":"","family":"Spittel","given":"Michael L","non-dropping-particle":"","parse-names":false,"suffix":""},{"dropping-particle":"","family":"Zeno","given":"Tia L","non-dropping-particle":"","parse-names":false,"suffix":""}],"container-title":"Policy Insights from the Behavioral and Brain Sciences","id":"ITEM-1","issue":"1","issued":{"date-parts":[["2014"]]},"page":"189-194","publisher":"SAGE Publications Sage CA: Los Angeles, CA","title":"Educational attainment and life expectancy","type":"article-journal","volume":"1"},"uris":["http://www.mendeley.com/documents/?uuid=429e4d02-a3f5-495d-9803-26dca69590bf"]}],"mendeley":{"formattedCitation":"(Kaplan, Spittel and Zeno, 2014)","plainTextFormattedCitation":"(Kaplan, Spittel and Zeno, 2014)","previouslyFormattedCitation":"(Kaplan, Spittel and Zeno, 2014)"},"properties":{"noteIndex":0},"schema":"https://github.com/citation-style-language/schema/raw/master/csl-citation.json"}</w:instrText>
      </w:r>
      <w:r w:rsidR="00233CDF" w:rsidRPr="00D22D4E">
        <w:rPr>
          <w:rFonts w:asciiTheme="majorBidi" w:hAnsiTheme="majorBidi" w:cstheme="majorBidi"/>
          <w:color w:val="000000" w:themeColor="text1"/>
          <w:lang w:val="en-US"/>
        </w:rPr>
        <w:fldChar w:fldCharType="separate"/>
      </w:r>
      <w:r w:rsidR="00233CDF" w:rsidRPr="00D22D4E">
        <w:rPr>
          <w:rFonts w:asciiTheme="majorBidi" w:hAnsiTheme="majorBidi" w:cstheme="majorBidi"/>
          <w:noProof/>
          <w:color w:val="000000" w:themeColor="text1"/>
          <w:lang w:val="en-US"/>
        </w:rPr>
        <w:t>(Kaplan, Spittel and Zeno, 2014)</w:t>
      </w:r>
      <w:r w:rsidR="00233CDF" w:rsidRPr="00D22D4E">
        <w:rPr>
          <w:rFonts w:asciiTheme="majorBidi" w:hAnsiTheme="majorBidi" w:cstheme="majorBidi"/>
          <w:color w:val="000000" w:themeColor="text1"/>
          <w:lang w:val="en-US"/>
        </w:rPr>
        <w:fldChar w:fldCharType="end"/>
      </w:r>
      <w:r w:rsidR="00233CDF" w:rsidRPr="00D22D4E">
        <w:rPr>
          <w:rFonts w:asciiTheme="majorBidi" w:hAnsiTheme="majorBidi" w:cstheme="majorBidi"/>
          <w:color w:val="000000" w:themeColor="text1"/>
          <w:lang w:val="en-US"/>
        </w:rPr>
        <w:t xml:space="preserve">. </w:t>
      </w:r>
    </w:p>
    <w:p w14:paraId="2154DAD7" w14:textId="33024E07" w:rsidR="00927855" w:rsidRPr="00D22D4E" w:rsidRDefault="00233CDF" w:rsidP="00C05339">
      <w:pPr>
        <w:jc w:val="both"/>
        <w:rPr>
          <w:rFonts w:asciiTheme="majorBidi" w:hAnsiTheme="majorBidi" w:cstheme="majorBidi"/>
          <w:color w:val="000000" w:themeColor="text1"/>
          <w:lang w:val="en-GB"/>
        </w:rPr>
      </w:pPr>
      <w:r w:rsidRPr="00D22D4E">
        <w:rPr>
          <w:rFonts w:asciiTheme="majorBidi" w:hAnsiTheme="majorBidi" w:cstheme="majorBidi"/>
          <w:color w:val="000000" w:themeColor="text1"/>
          <w:lang w:val="en-US"/>
        </w:rPr>
        <w:t>According to research, health of an individual is determined by his will to invest an extensive range of resources</w:t>
      </w:r>
      <w:r w:rsidR="004D77CF">
        <w:rPr>
          <w:rFonts w:asciiTheme="majorBidi" w:hAnsiTheme="majorBidi" w:cstheme="majorBidi"/>
          <w:color w:val="000000" w:themeColor="text1"/>
          <w:lang w:val="en-US"/>
        </w:rPr>
        <w:t>,</w:t>
      </w:r>
      <w:r w:rsidRPr="00D22D4E">
        <w:rPr>
          <w:rFonts w:asciiTheme="majorBidi" w:hAnsiTheme="majorBidi" w:cstheme="majorBidi"/>
          <w:color w:val="000000" w:themeColor="text1"/>
          <w:lang w:val="en-US"/>
        </w:rPr>
        <w:t xml:space="preserve"> </w:t>
      </w:r>
      <w:r w:rsidRPr="00D22D4E">
        <w:rPr>
          <w:rFonts w:asciiTheme="majorBidi" w:hAnsiTheme="majorBidi" w:cstheme="majorBidi"/>
          <w:color w:val="000000" w:themeColor="text1"/>
          <w:lang w:val="en-GB"/>
        </w:rPr>
        <w:t xml:space="preserve">to </w:t>
      </w:r>
      <w:r w:rsidRPr="00D22D4E">
        <w:rPr>
          <w:rFonts w:asciiTheme="majorBidi" w:hAnsiTheme="majorBidi" w:cstheme="majorBidi"/>
          <w:color w:val="000000" w:themeColor="text1"/>
          <w:lang w:val="en-GB"/>
        </w:rPr>
        <w:t>improve</w:t>
      </w:r>
      <w:r w:rsidRPr="00D22D4E">
        <w:rPr>
          <w:rFonts w:asciiTheme="majorBidi" w:hAnsiTheme="majorBidi" w:cstheme="majorBidi"/>
          <w:color w:val="000000" w:themeColor="text1"/>
          <w:lang w:val="en-GB"/>
        </w:rPr>
        <w:t xml:space="preserve"> a </w:t>
      </w:r>
      <w:r w:rsidR="004D77CF">
        <w:rPr>
          <w:rFonts w:asciiTheme="majorBidi" w:hAnsiTheme="majorBidi" w:cstheme="majorBidi"/>
          <w:color w:val="000000" w:themeColor="text1"/>
          <w:lang w:val="en-GB"/>
        </w:rPr>
        <w:t>good</w:t>
      </w:r>
      <w:r w:rsidRPr="00D22D4E">
        <w:rPr>
          <w:rFonts w:asciiTheme="majorBidi" w:hAnsiTheme="majorBidi" w:cstheme="majorBidi"/>
          <w:color w:val="000000" w:themeColor="text1"/>
          <w:lang w:val="en-GB"/>
        </w:rPr>
        <w:t xml:space="preserve"> understanding </w:t>
      </w:r>
      <w:r w:rsidR="00C67A10">
        <w:rPr>
          <w:rFonts w:asciiTheme="majorBidi" w:hAnsiTheme="majorBidi" w:cstheme="majorBidi"/>
          <w:color w:val="000000" w:themeColor="text1"/>
          <w:lang w:val="en-GB"/>
        </w:rPr>
        <w:t>of</w:t>
      </w:r>
      <w:r w:rsidR="00927855" w:rsidRPr="00D22D4E">
        <w:rPr>
          <w:rFonts w:asciiTheme="majorBidi" w:hAnsiTheme="majorBidi" w:cstheme="majorBidi"/>
          <w:color w:val="000000" w:themeColor="text1"/>
          <w:lang w:val="en-GB"/>
        </w:rPr>
        <w:t xml:space="preserve"> health affairs. In reality, lack of education in health </w:t>
      </w:r>
      <w:r w:rsidR="00AD31C6">
        <w:rPr>
          <w:rFonts w:asciiTheme="majorBidi" w:hAnsiTheme="majorBidi" w:cstheme="majorBidi"/>
          <w:color w:val="000000" w:themeColor="text1"/>
          <w:lang w:val="en-GB"/>
        </w:rPr>
        <w:t>is considered as an</w:t>
      </w:r>
      <w:r w:rsidR="00927855" w:rsidRPr="00D22D4E">
        <w:rPr>
          <w:rFonts w:asciiTheme="majorBidi" w:hAnsiTheme="majorBidi" w:cstheme="majorBidi"/>
          <w:color w:val="000000" w:themeColor="text1"/>
          <w:lang w:val="en-GB"/>
        </w:rPr>
        <w:t xml:space="preserve"> obstacle</w:t>
      </w:r>
      <w:r w:rsidR="00AD31C6">
        <w:rPr>
          <w:rFonts w:asciiTheme="majorBidi" w:hAnsiTheme="majorBidi" w:cstheme="majorBidi"/>
          <w:color w:val="000000" w:themeColor="text1"/>
          <w:lang w:val="en-GB"/>
        </w:rPr>
        <w:t>,</w:t>
      </w:r>
      <w:r w:rsidR="00927855" w:rsidRPr="00D22D4E">
        <w:rPr>
          <w:rFonts w:asciiTheme="majorBidi" w:hAnsiTheme="majorBidi" w:cstheme="majorBidi"/>
          <w:color w:val="000000" w:themeColor="text1"/>
          <w:lang w:val="en-GB"/>
        </w:rPr>
        <w:t xml:space="preserve"> </w:t>
      </w:r>
      <w:r w:rsidR="00AD31C6">
        <w:rPr>
          <w:rFonts w:asciiTheme="majorBidi" w:hAnsiTheme="majorBidi" w:cstheme="majorBidi"/>
          <w:color w:val="000000" w:themeColor="text1"/>
          <w:lang w:val="en-GB"/>
        </w:rPr>
        <w:t>in</w:t>
      </w:r>
      <w:r w:rsidR="00927855" w:rsidRPr="00D22D4E">
        <w:rPr>
          <w:rFonts w:asciiTheme="majorBidi" w:hAnsiTheme="majorBidi" w:cstheme="majorBidi"/>
          <w:color w:val="000000" w:themeColor="text1"/>
          <w:lang w:val="en-GB"/>
        </w:rPr>
        <w:t xml:space="preserve"> achiev</w:t>
      </w:r>
      <w:r w:rsidR="00AD31C6">
        <w:rPr>
          <w:rFonts w:asciiTheme="majorBidi" w:hAnsiTheme="majorBidi" w:cstheme="majorBidi"/>
          <w:color w:val="000000" w:themeColor="text1"/>
          <w:lang w:val="en-GB"/>
        </w:rPr>
        <w:t xml:space="preserve">ing the </w:t>
      </w:r>
      <w:r w:rsidR="00927855" w:rsidRPr="00D22D4E">
        <w:rPr>
          <w:rFonts w:asciiTheme="majorBidi" w:hAnsiTheme="majorBidi" w:cstheme="majorBidi"/>
          <w:color w:val="000000" w:themeColor="text1"/>
          <w:lang w:val="en-GB"/>
        </w:rPr>
        <w:t xml:space="preserve">innovation educational information and access to </w:t>
      </w:r>
      <w:r w:rsidR="00AD31C6">
        <w:rPr>
          <w:rFonts w:asciiTheme="majorBidi" w:hAnsiTheme="majorBidi" w:cstheme="majorBidi"/>
          <w:color w:val="000000" w:themeColor="text1"/>
          <w:lang w:val="en-GB"/>
        </w:rPr>
        <w:t>good</w:t>
      </w:r>
      <w:r w:rsidR="00927855" w:rsidRPr="00D22D4E">
        <w:rPr>
          <w:rFonts w:asciiTheme="majorBidi" w:hAnsiTheme="majorBidi" w:cstheme="majorBidi"/>
          <w:color w:val="000000" w:themeColor="text1"/>
          <w:lang w:val="en-GB"/>
        </w:rPr>
        <w:t xml:space="preserve"> treatment </w:t>
      </w:r>
      <w:r w:rsidR="00927855" w:rsidRPr="00D22D4E">
        <w:rPr>
          <w:rFonts w:asciiTheme="majorBidi" w:hAnsiTheme="majorBidi" w:cstheme="majorBidi"/>
          <w:color w:val="000000" w:themeColor="text1"/>
          <w:lang w:val="en-GB"/>
        </w:rPr>
        <w:fldChar w:fldCharType="begin" w:fldLock="1"/>
      </w:r>
      <w:r w:rsidR="00797070" w:rsidRPr="00D22D4E">
        <w:rPr>
          <w:rFonts w:asciiTheme="majorBidi" w:hAnsiTheme="majorBidi" w:cstheme="majorBidi"/>
          <w:color w:val="000000" w:themeColor="text1"/>
          <w:lang w:val="en-GB"/>
        </w:rPr>
        <w:instrText>ADDIN CSL_CITATION {"citationItems":[{"id":"ITEM-1","itemData":{"ISSN":"1356-1820","author":[{"dropping-particle":"","family":"Abu-Rish","given":"Erin","non-dropping-particle":"","parse-names":false,"suffix":""},{"dropping-particle":"","family":"Kim","given":"Sara","non-dropping-particle":"","parse-names":false,"suffix":""},{"dropping-particle":"","family":"Choe","given":"Lapio","non-dropping-particle":"","parse-names":false,"suffix":""},{"dropping-particle":"","family":"Varpio","given":"Lara","non-dropping-particle":"","parse-names":false,"suffix":""},{"dropping-particle":"","family":"Malik","given":"Elisabeth","non-dropping-particle":"","parse-names":false,"suffix":""},{"dropping-particle":"","family":"White","given":"Andrew A","non-dropping-particle":"","parse-names":false,"suffix":""},{"dropping-particle":"","family":"Craddick","given":"Karen","non-dropping-particle":"","parse-names":false,"suffix":""},{"dropping-particle":"","family":"Blondon","given":"Katherine","non-dropping-particle":"","parse-names":false,"suffix":""},{"dropping-particle":"","family":"Robins","given":"Lynne","non-dropping-particle":"","parse-names":false,"suffix":""},{"dropping-particle":"","family":"Nagasawa","given":"Pamela","non-dropping-particle":"","parse-names":false,"suffix":""}],"container-title":"Journal of interprofessional care","id":"ITEM-1","issue":"6","issued":{"date-parts":[["2012"]]},"page":"444-451","publisher":"Taylor &amp; Francis","title":"Current trends in interprofessional education of health sciences students: A literature review","type":"article-journal","volume":"26"},"uris":["http://www.mendeley.com/documents/?uuid=0179b4ba-637b-4094-a576-25f2f935f6bb"]}],"mendeley":{"formattedCitation":"(Abu-Rish &lt;i&gt;et al.&lt;/i&gt;, 2012)","plainTextFormattedCitation":"(Abu-Rish et al., 2012)","previouslyFormattedCitation":"(Abu-Rish &lt;i&gt;et al.&lt;/i&gt;, 2012)"},"properties":{"noteIndex":0},"schema":"https://github.com/citation-style-language/schema/raw/master/csl-citation.json"}</w:instrText>
      </w:r>
      <w:r w:rsidR="00927855" w:rsidRPr="00D22D4E">
        <w:rPr>
          <w:rFonts w:asciiTheme="majorBidi" w:hAnsiTheme="majorBidi" w:cstheme="majorBidi"/>
          <w:color w:val="000000" w:themeColor="text1"/>
          <w:lang w:val="en-GB"/>
        </w:rPr>
        <w:fldChar w:fldCharType="separate"/>
      </w:r>
      <w:r w:rsidR="00927855" w:rsidRPr="00D22D4E">
        <w:rPr>
          <w:rFonts w:asciiTheme="majorBidi" w:hAnsiTheme="majorBidi" w:cstheme="majorBidi"/>
          <w:noProof/>
          <w:color w:val="000000" w:themeColor="text1"/>
          <w:lang w:val="en-GB"/>
        </w:rPr>
        <w:t xml:space="preserve">(Abu-Rish </w:t>
      </w:r>
      <w:r w:rsidR="00927855" w:rsidRPr="00D22D4E">
        <w:rPr>
          <w:rFonts w:asciiTheme="majorBidi" w:hAnsiTheme="majorBidi" w:cstheme="majorBidi"/>
          <w:i/>
          <w:noProof/>
          <w:color w:val="000000" w:themeColor="text1"/>
          <w:lang w:val="en-GB"/>
        </w:rPr>
        <w:t>et al.</w:t>
      </w:r>
      <w:r w:rsidR="00927855" w:rsidRPr="00D22D4E">
        <w:rPr>
          <w:rFonts w:asciiTheme="majorBidi" w:hAnsiTheme="majorBidi" w:cstheme="majorBidi"/>
          <w:noProof/>
          <w:color w:val="000000" w:themeColor="text1"/>
          <w:lang w:val="en-GB"/>
        </w:rPr>
        <w:t>, 2012)</w:t>
      </w:r>
      <w:r w:rsidR="00927855" w:rsidRPr="00D22D4E">
        <w:rPr>
          <w:rFonts w:asciiTheme="majorBidi" w:hAnsiTheme="majorBidi" w:cstheme="majorBidi"/>
          <w:color w:val="000000" w:themeColor="text1"/>
          <w:lang w:val="en-GB"/>
        </w:rPr>
        <w:fldChar w:fldCharType="end"/>
      </w:r>
      <w:r w:rsidR="00927855" w:rsidRPr="00D22D4E">
        <w:rPr>
          <w:rFonts w:asciiTheme="majorBidi" w:hAnsiTheme="majorBidi" w:cstheme="majorBidi"/>
          <w:color w:val="000000" w:themeColor="text1"/>
          <w:lang w:val="en-GB"/>
        </w:rPr>
        <w:t>.</w:t>
      </w:r>
    </w:p>
    <w:p w14:paraId="787AC623" w14:textId="00C18FD7" w:rsidR="00797070" w:rsidRPr="00D22D4E" w:rsidRDefault="00927855" w:rsidP="00C05339">
      <w:pPr>
        <w:jc w:val="both"/>
        <w:rPr>
          <w:rFonts w:asciiTheme="majorBidi" w:hAnsiTheme="majorBidi" w:cstheme="majorBidi"/>
          <w:color w:val="000000" w:themeColor="text1"/>
          <w:shd w:val="clear" w:color="auto" w:fill="FFFFFF"/>
          <w:lang w:val="en-US"/>
        </w:rPr>
      </w:pPr>
      <w:r w:rsidRPr="00D22D4E">
        <w:rPr>
          <w:rFonts w:asciiTheme="majorBidi" w:hAnsiTheme="majorBidi" w:cstheme="majorBidi"/>
          <w:color w:val="000000" w:themeColor="text1"/>
          <w:lang w:val="en-GB"/>
        </w:rPr>
        <w:t xml:space="preserve">Talking about educational opportunities in Indigenous Australia, </w:t>
      </w:r>
      <w:r w:rsidR="00797070" w:rsidRPr="00D22D4E">
        <w:rPr>
          <w:rFonts w:asciiTheme="majorBidi" w:hAnsiTheme="majorBidi" w:cstheme="majorBidi"/>
          <w:color w:val="000000" w:themeColor="text1"/>
          <w:lang w:val="en-GB"/>
        </w:rPr>
        <w:t xml:space="preserve">it took more than 110 years from the founding of the first university to the graduation of the first Australian Aboriginal </w:t>
      </w:r>
      <w:r w:rsidR="00797070" w:rsidRPr="00D22D4E">
        <w:rPr>
          <w:rFonts w:asciiTheme="majorBidi" w:hAnsiTheme="majorBidi" w:cstheme="majorBidi"/>
          <w:color w:val="000000" w:themeColor="text1"/>
          <w:lang w:val="en-GB"/>
        </w:rPr>
        <w:fldChar w:fldCharType="begin" w:fldLock="1"/>
      </w:r>
      <w:r w:rsidR="001A03D5" w:rsidRPr="00D22D4E">
        <w:rPr>
          <w:rFonts w:asciiTheme="majorBidi" w:hAnsiTheme="majorBidi" w:cstheme="majorBidi"/>
          <w:color w:val="000000" w:themeColor="text1"/>
          <w:lang w:val="en-GB"/>
        </w:rPr>
        <w:instrText>ADDIN CSL_CITATION {"citationItems":[{"id":"ITEM-1","itemData":{"ISSN":"1326-5377","author":[{"dropping-particle":"","family":"Marmot","given":"Michael","non-dropping-particle":"","parse-names":false,"suffix":""}],"container-title":"Med J Aust","id":"ITEM-1","issue":"10","issued":{"date-parts":[["2011"]]},"page":"512-513","title":"Social determinants and the health of Indigenous Australians","type":"article-journal","volume":"194"},"uris":["http://www.mendeley.com/documents/?uuid=3555bc39-750e-4c2e-9a43-9844ebb19819"]}],"mendeley":{"formattedCitation":"(Marmot, 2011)","plainTextFormattedCitation":"(Marmot, 2011)","previouslyFormattedCitation":"(Marmot, 2011)"},"properties":{"noteIndex":0},"schema":"https://github.com/citation-style-language/schema/raw/master/csl-citation.json"}</w:instrText>
      </w:r>
      <w:r w:rsidR="00797070" w:rsidRPr="00D22D4E">
        <w:rPr>
          <w:rFonts w:asciiTheme="majorBidi" w:hAnsiTheme="majorBidi" w:cstheme="majorBidi"/>
          <w:color w:val="000000" w:themeColor="text1"/>
          <w:lang w:val="en-GB"/>
        </w:rPr>
        <w:fldChar w:fldCharType="separate"/>
      </w:r>
      <w:r w:rsidR="00797070" w:rsidRPr="00D22D4E">
        <w:rPr>
          <w:rFonts w:asciiTheme="majorBidi" w:hAnsiTheme="majorBidi" w:cstheme="majorBidi"/>
          <w:noProof/>
          <w:color w:val="000000" w:themeColor="text1"/>
          <w:lang w:val="en-GB"/>
        </w:rPr>
        <w:t>(Marmot, 2011)</w:t>
      </w:r>
      <w:r w:rsidR="00797070" w:rsidRPr="00D22D4E">
        <w:rPr>
          <w:rFonts w:asciiTheme="majorBidi" w:hAnsiTheme="majorBidi" w:cstheme="majorBidi"/>
          <w:color w:val="000000" w:themeColor="text1"/>
          <w:lang w:val="en-GB"/>
        </w:rPr>
        <w:fldChar w:fldCharType="end"/>
      </w:r>
      <w:r w:rsidR="00797070" w:rsidRPr="00D22D4E">
        <w:rPr>
          <w:rFonts w:asciiTheme="majorBidi" w:hAnsiTheme="majorBidi" w:cstheme="majorBidi"/>
          <w:color w:val="000000" w:themeColor="text1"/>
          <w:lang w:val="en-GB"/>
        </w:rPr>
        <w:t xml:space="preserve">. And so on, Indigenous Australians are understated and noticeably deprived in terms of higher education. In 2011, </w:t>
      </w:r>
      <w:r w:rsidR="00575E0E" w:rsidRPr="00D22D4E">
        <w:rPr>
          <w:rFonts w:asciiTheme="majorBidi" w:hAnsiTheme="majorBidi" w:cstheme="majorBidi"/>
          <w:color w:val="000000" w:themeColor="text1"/>
          <w:lang w:val="en-GB"/>
        </w:rPr>
        <w:t>only 25% Indigenous Australians completed twelve years of education in the age of 18. Whereas twice</w:t>
      </w:r>
      <w:r w:rsidR="006809A9" w:rsidRPr="00D22D4E">
        <w:rPr>
          <w:rFonts w:asciiTheme="majorBidi" w:hAnsiTheme="majorBidi" w:cstheme="majorBidi"/>
          <w:color w:val="000000" w:themeColor="text1"/>
          <w:lang w:val="en-GB"/>
        </w:rPr>
        <w:t xml:space="preserve"> (25%)</w:t>
      </w:r>
      <w:r w:rsidR="00575E0E" w:rsidRPr="00D22D4E">
        <w:rPr>
          <w:rFonts w:asciiTheme="majorBidi" w:hAnsiTheme="majorBidi" w:cstheme="majorBidi"/>
          <w:color w:val="000000" w:themeColor="text1"/>
          <w:lang w:val="en-GB"/>
        </w:rPr>
        <w:t xml:space="preserve"> as many </w:t>
      </w:r>
      <w:r w:rsidR="00575E0E" w:rsidRPr="00D22D4E">
        <w:rPr>
          <w:rFonts w:asciiTheme="majorBidi" w:hAnsiTheme="majorBidi" w:cstheme="majorBidi"/>
          <w:color w:val="000000" w:themeColor="text1"/>
          <w:lang w:val="en-GB"/>
        </w:rPr>
        <w:t>Non-Indigenous Australians</w:t>
      </w:r>
      <w:r w:rsidR="006809A9" w:rsidRPr="00D22D4E">
        <w:rPr>
          <w:rFonts w:asciiTheme="majorBidi" w:hAnsiTheme="majorBidi" w:cstheme="majorBidi"/>
          <w:color w:val="000000" w:themeColor="text1"/>
          <w:lang w:val="en-GB"/>
        </w:rPr>
        <w:t xml:space="preserve"> completed the same level of education in the same age. According to Australian Higher Education, Indigenous Australians are one of the most underprivileged communities within the Australian higher education.</w:t>
      </w:r>
      <w:r w:rsidR="009011D4" w:rsidRPr="00D22D4E">
        <w:rPr>
          <w:rFonts w:asciiTheme="majorBidi" w:hAnsiTheme="majorBidi" w:cstheme="majorBidi"/>
          <w:color w:val="000000" w:themeColor="text1"/>
          <w:lang w:val="en-GB"/>
        </w:rPr>
        <w:t xml:space="preserve"> Therefore, they have poor health, living, and finally short life span. Considering that, </w:t>
      </w:r>
      <w:r w:rsidR="00C05339" w:rsidRPr="00D22D4E">
        <w:rPr>
          <w:rFonts w:asciiTheme="majorBidi" w:hAnsiTheme="majorBidi" w:cstheme="majorBidi"/>
          <w:color w:val="000000" w:themeColor="text1"/>
          <w:lang w:val="en-GB"/>
        </w:rPr>
        <w:t>by</w:t>
      </w:r>
      <w:r w:rsidR="009011D4" w:rsidRPr="00D22D4E">
        <w:rPr>
          <w:rFonts w:asciiTheme="majorBidi" w:hAnsiTheme="majorBidi" w:cstheme="majorBidi"/>
          <w:color w:val="000000" w:themeColor="text1"/>
          <w:lang w:val="en-GB"/>
        </w:rPr>
        <w:t xml:space="preserve"> enhancing </w:t>
      </w:r>
      <w:r w:rsidR="00C05339" w:rsidRPr="00D22D4E">
        <w:rPr>
          <w:rFonts w:asciiTheme="majorBidi" w:hAnsiTheme="majorBidi" w:cstheme="majorBidi"/>
          <w:color w:val="000000" w:themeColor="text1"/>
          <w:lang w:val="en-GB"/>
        </w:rPr>
        <w:t>their</w:t>
      </w:r>
      <w:r w:rsidR="009011D4" w:rsidRPr="00D22D4E">
        <w:rPr>
          <w:rFonts w:asciiTheme="majorBidi" w:hAnsiTheme="majorBidi" w:cstheme="majorBidi"/>
          <w:color w:val="000000" w:themeColor="text1"/>
          <w:lang w:val="en-GB"/>
        </w:rPr>
        <w:t xml:space="preserve"> participation in higher education, disadvantages can be reduced for them. Multifaceted strategies including, harmonised learning environment, access to educational facilities,</w:t>
      </w:r>
      <w:r w:rsidR="001A03D5" w:rsidRPr="00D22D4E">
        <w:rPr>
          <w:rFonts w:asciiTheme="majorBidi" w:hAnsiTheme="majorBidi" w:cstheme="majorBidi"/>
          <w:color w:val="000000" w:themeColor="text1"/>
          <w:lang w:val="en-GB"/>
        </w:rPr>
        <w:t xml:space="preserve"> and</w:t>
      </w:r>
      <w:r w:rsidR="009011D4" w:rsidRPr="00D22D4E">
        <w:rPr>
          <w:rFonts w:asciiTheme="majorBidi" w:hAnsiTheme="majorBidi" w:cstheme="majorBidi"/>
          <w:color w:val="000000" w:themeColor="text1"/>
          <w:lang w:val="en-GB"/>
        </w:rPr>
        <w:t xml:space="preserve"> </w:t>
      </w:r>
      <w:r w:rsidR="001A03D5" w:rsidRPr="00D22D4E">
        <w:rPr>
          <w:rFonts w:asciiTheme="majorBidi" w:hAnsiTheme="majorBidi" w:cstheme="majorBidi"/>
          <w:color w:val="000000" w:themeColor="text1"/>
          <w:lang w:val="en-GB"/>
        </w:rPr>
        <w:t>employment</w:t>
      </w:r>
      <w:r w:rsidR="009011D4" w:rsidRPr="00D22D4E">
        <w:rPr>
          <w:rFonts w:asciiTheme="majorBidi" w:hAnsiTheme="majorBidi" w:cstheme="majorBidi"/>
          <w:color w:val="000000" w:themeColor="text1"/>
          <w:lang w:val="en-GB"/>
        </w:rPr>
        <w:t xml:space="preserve"> are all very important in improvement of the education sector in Indigenous Australia</w:t>
      </w:r>
      <w:r w:rsidR="001A03D5" w:rsidRPr="00D22D4E">
        <w:rPr>
          <w:rFonts w:asciiTheme="majorBidi" w:hAnsiTheme="majorBidi" w:cstheme="majorBidi"/>
          <w:color w:val="000000" w:themeColor="text1"/>
          <w:lang w:val="en-GB"/>
        </w:rPr>
        <w:t xml:space="preserve"> </w:t>
      </w:r>
      <w:r w:rsidR="001A03D5" w:rsidRPr="00D22D4E">
        <w:rPr>
          <w:rFonts w:asciiTheme="majorBidi" w:hAnsiTheme="majorBidi" w:cstheme="majorBidi"/>
          <w:color w:val="000000" w:themeColor="text1"/>
          <w:lang w:val="en-GB"/>
        </w:rPr>
        <w:fldChar w:fldCharType="begin" w:fldLock="1"/>
      </w:r>
      <w:r w:rsidR="00C93A3F" w:rsidRPr="00D22D4E">
        <w:rPr>
          <w:rFonts w:asciiTheme="majorBidi" w:hAnsiTheme="majorBidi" w:cstheme="majorBidi"/>
          <w:color w:val="000000" w:themeColor="text1"/>
          <w:lang w:val="en-GB"/>
        </w:rPr>
        <w:instrText>ADDIN CSL_CITATION {"citationItems":[{"id":"ITEM-1","itemData":{"ISSN":"2049-7784","author":[{"dropping-particle":"","family":"Pechenkina","given":"Ekaterina","non-dropping-particle":"","parse-names":false,"suffix":""},{"dropping-particle":"","family":"Kowal","given":"Emma","non-dropping-particle":"","parse-names":false,"suffix":""},{"dropping-particle":"","family":"Paradies","given":"Yin","non-dropping-particle":"","parse-names":false,"suffix":""}],"container-title":"The Australian Journal of Indigenous Education","id":"ITEM-1","issued":{"date-parts":[["2011"]]},"page":"59-68","publisher":"Cambridge University Press","title":"Indigenous Australian students' participation rates in higher education: Exploring the role of universities","type":"article-journal","volume":"40"},"uris":["http://www.mendeley.com/documents/?uuid=467326ac-6fd7-443d-a903-13ead6913fea"]}],"mendeley":{"formattedCitation":"(Pechenkina, Kowal and Paradies, 2011)","plainTextFormattedCitation":"(Pechenkina, Kowal and Paradies, 2011)","previouslyFormattedCitation":"(Pechenkina, Kowal and Paradies, 2011)"},"properties":{"noteIndex":0},"schema":"https://github.com/citation-style-language/schema/raw/master/csl-citation.json"}</w:instrText>
      </w:r>
      <w:r w:rsidR="001A03D5" w:rsidRPr="00D22D4E">
        <w:rPr>
          <w:rFonts w:asciiTheme="majorBidi" w:hAnsiTheme="majorBidi" w:cstheme="majorBidi"/>
          <w:color w:val="000000" w:themeColor="text1"/>
          <w:lang w:val="en-GB"/>
        </w:rPr>
        <w:fldChar w:fldCharType="separate"/>
      </w:r>
      <w:r w:rsidR="001A03D5" w:rsidRPr="00D22D4E">
        <w:rPr>
          <w:rFonts w:asciiTheme="majorBidi" w:hAnsiTheme="majorBidi" w:cstheme="majorBidi"/>
          <w:noProof/>
          <w:color w:val="000000" w:themeColor="text1"/>
          <w:lang w:val="en-GB"/>
        </w:rPr>
        <w:t>(Pechenkina, Kowal and Paradies, 2011)</w:t>
      </w:r>
      <w:r w:rsidR="001A03D5" w:rsidRPr="00D22D4E">
        <w:rPr>
          <w:rFonts w:asciiTheme="majorBidi" w:hAnsiTheme="majorBidi" w:cstheme="majorBidi"/>
          <w:color w:val="000000" w:themeColor="text1"/>
          <w:lang w:val="en-GB"/>
        </w:rPr>
        <w:fldChar w:fldCharType="end"/>
      </w:r>
      <w:r w:rsidR="009011D4" w:rsidRPr="00D22D4E">
        <w:rPr>
          <w:rFonts w:asciiTheme="majorBidi" w:hAnsiTheme="majorBidi" w:cstheme="majorBidi"/>
          <w:color w:val="000000" w:themeColor="text1"/>
          <w:lang w:val="en-GB"/>
        </w:rPr>
        <w:t xml:space="preserve">. </w:t>
      </w:r>
      <w:r w:rsidR="00C05339" w:rsidRPr="00D22D4E">
        <w:rPr>
          <w:rFonts w:asciiTheme="majorBidi" w:hAnsiTheme="majorBidi" w:cstheme="majorBidi"/>
          <w:color w:val="000000" w:themeColor="text1"/>
          <w:lang w:val="en-GB"/>
        </w:rPr>
        <w:t>Also</w:t>
      </w:r>
      <w:r w:rsidR="001A03D5" w:rsidRPr="00D22D4E">
        <w:rPr>
          <w:rFonts w:asciiTheme="majorBidi" w:hAnsiTheme="majorBidi" w:cstheme="majorBidi"/>
          <w:color w:val="000000" w:themeColor="text1"/>
          <w:lang w:val="en-GB"/>
        </w:rPr>
        <w:t xml:space="preserve">, to alleviate the educational derivation, </w:t>
      </w:r>
      <w:r w:rsidR="009011D4" w:rsidRPr="00D22D4E">
        <w:rPr>
          <w:rFonts w:asciiTheme="majorBidi" w:hAnsiTheme="majorBidi" w:cstheme="majorBidi"/>
          <w:color w:val="000000" w:themeColor="text1"/>
          <w:lang w:val="en-GB"/>
        </w:rPr>
        <w:t xml:space="preserve">Australian Government has allotted an enough budget for </w:t>
      </w:r>
      <w:r w:rsidR="001A03D5" w:rsidRPr="00D22D4E">
        <w:rPr>
          <w:rFonts w:asciiTheme="majorBidi" w:hAnsiTheme="majorBidi" w:cstheme="majorBidi"/>
          <w:color w:val="000000" w:themeColor="text1"/>
          <w:lang w:val="en-GB"/>
        </w:rPr>
        <w:t>the</w:t>
      </w:r>
      <w:r w:rsidR="009011D4" w:rsidRPr="00D22D4E">
        <w:rPr>
          <w:rFonts w:asciiTheme="majorBidi" w:hAnsiTheme="majorBidi" w:cstheme="majorBidi"/>
          <w:color w:val="000000" w:themeColor="text1"/>
          <w:lang w:val="en-GB"/>
        </w:rPr>
        <w:t xml:space="preserve"> Indigenous Australians</w:t>
      </w:r>
      <w:r w:rsidR="00C05339" w:rsidRPr="00D22D4E">
        <w:rPr>
          <w:rFonts w:asciiTheme="majorBidi" w:hAnsiTheme="majorBidi" w:cstheme="majorBidi"/>
          <w:color w:val="000000" w:themeColor="text1"/>
          <w:lang w:val="en-GB"/>
        </w:rPr>
        <w:t xml:space="preserve">. Also, National School Reform Agreement is working to lift the </w:t>
      </w:r>
      <w:r w:rsidR="00C05339" w:rsidRPr="00D22D4E">
        <w:rPr>
          <w:rFonts w:asciiTheme="majorBidi" w:hAnsiTheme="majorBidi" w:cstheme="majorBidi"/>
          <w:color w:val="000000" w:themeColor="text1"/>
          <w:lang w:val="en-GB"/>
        </w:rPr>
        <w:lastRenderedPageBreak/>
        <w:t>educational outcomes for Indigenous Australians</w:t>
      </w:r>
      <w:r w:rsidR="001A03D5" w:rsidRPr="00D22D4E">
        <w:rPr>
          <w:rFonts w:asciiTheme="majorBidi" w:hAnsiTheme="majorBidi" w:cstheme="majorBidi"/>
          <w:color w:val="000000" w:themeColor="text1"/>
          <w:lang w:val="en-GB"/>
        </w:rPr>
        <w:t xml:space="preserve"> (</w:t>
      </w:r>
      <w:r w:rsidR="001A03D5" w:rsidRPr="00D22D4E">
        <w:rPr>
          <w:rFonts w:asciiTheme="majorBidi" w:hAnsiTheme="majorBidi" w:cstheme="majorBidi"/>
          <w:color w:val="000000" w:themeColor="text1"/>
          <w:shd w:val="clear" w:color="auto" w:fill="FFFFFF"/>
        </w:rPr>
        <w:t xml:space="preserve">Australian </w:t>
      </w:r>
      <w:r w:rsidR="001E0420" w:rsidRPr="00D22D4E">
        <w:rPr>
          <w:rFonts w:asciiTheme="majorBidi" w:hAnsiTheme="majorBidi" w:cstheme="majorBidi"/>
          <w:color w:val="000000" w:themeColor="text1"/>
          <w:shd w:val="clear" w:color="auto" w:fill="FFFFFF"/>
          <w:lang w:val="en-US"/>
        </w:rPr>
        <w:t>G</w:t>
      </w:r>
      <w:r w:rsidR="001A03D5" w:rsidRPr="00D22D4E">
        <w:rPr>
          <w:rFonts w:asciiTheme="majorBidi" w:hAnsiTheme="majorBidi" w:cstheme="majorBidi"/>
          <w:color w:val="000000" w:themeColor="text1"/>
          <w:shd w:val="clear" w:color="auto" w:fill="FFFFFF"/>
        </w:rPr>
        <w:t>overnment| Department of Education Skills and Employment</w:t>
      </w:r>
      <w:r w:rsidR="001A03D5" w:rsidRPr="00D22D4E">
        <w:rPr>
          <w:rFonts w:asciiTheme="majorBidi" w:hAnsiTheme="majorBidi" w:cstheme="majorBidi"/>
          <w:color w:val="000000" w:themeColor="text1"/>
          <w:shd w:val="clear" w:color="auto" w:fill="FFFFFF"/>
          <w:lang w:val="en-US"/>
        </w:rPr>
        <w:t>,</w:t>
      </w:r>
      <w:r w:rsidR="001A03D5" w:rsidRPr="00D22D4E">
        <w:rPr>
          <w:rFonts w:asciiTheme="majorBidi" w:hAnsiTheme="majorBidi" w:cstheme="majorBidi"/>
          <w:color w:val="000000" w:themeColor="text1"/>
          <w:shd w:val="clear" w:color="auto" w:fill="FFFFFF"/>
        </w:rPr>
        <w:t xml:space="preserve"> 2021</w:t>
      </w:r>
      <w:r w:rsidR="001A03D5" w:rsidRPr="00D22D4E">
        <w:rPr>
          <w:rFonts w:asciiTheme="majorBidi" w:hAnsiTheme="majorBidi" w:cstheme="majorBidi"/>
          <w:color w:val="000000" w:themeColor="text1"/>
          <w:shd w:val="clear" w:color="auto" w:fill="FFFFFF"/>
          <w:lang w:val="en-US"/>
        </w:rPr>
        <w:t>).</w:t>
      </w:r>
    </w:p>
    <w:p w14:paraId="3C044C0C" w14:textId="50759861" w:rsidR="00C05339" w:rsidRPr="000D2EEF" w:rsidRDefault="00C05339" w:rsidP="000D2EEF">
      <w:pPr>
        <w:pStyle w:val="ListParagraph"/>
        <w:numPr>
          <w:ilvl w:val="0"/>
          <w:numId w:val="1"/>
        </w:numPr>
        <w:autoSpaceDE w:val="0"/>
        <w:autoSpaceDN w:val="0"/>
        <w:adjustRightInd w:val="0"/>
        <w:rPr>
          <w:b/>
          <w:bCs/>
          <w:color w:val="000000" w:themeColor="text1"/>
          <w:lang w:val="en-GB"/>
        </w:rPr>
      </w:pPr>
      <w:r w:rsidRPr="000D2EEF">
        <w:rPr>
          <w:b/>
          <w:bCs/>
          <w:color w:val="000000" w:themeColor="text1"/>
          <w:lang w:val="en-GB"/>
        </w:rPr>
        <w:t>Employment and income</w:t>
      </w:r>
    </w:p>
    <w:p w14:paraId="467409E9" w14:textId="55DD4BD0" w:rsidR="00C05339" w:rsidRPr="00D22D4E" w:rsidRDefault="00C93A3F" w:rsidP="00D22D4E">
      <w:pPr>
        <w:autoSpaceDE w:val="0"/>
        <w:autoSpaceDN w:val="0"/>
        <w:adjustRightInd w:val="0"/>
        <w:jc w:val="both"/>
        <w:rPr>
          <w:rFonts w:asciiTheme="majorBidi" w:hAnsiTheme="majorBidi" w:cstheme="majorBidi"/>
          <w:color w:val="000000" w:themeColor="text1"/>
          <w:lang w:val="en-GB"/>
        </w:rPr>
      </w:pPr>
      <w:r w:rsidRPr="00D22D4E">
        <w:rPr>
          <w:rFonts w:asciiTheme="majorBidi" w:hAnsiTheme="majorBidi" w:cstheme="majorBidi"/>
          <w:color w:val="000000" w:themeColor="text1"/>
          <w:lang w:val="en-GB"/>
        </w:rPr>
        <w:t xml:space="preserve">Employment and good income are linked to health, social and emotional wellbeing of a person. </w:t>
      </w:r>
      <w:r w:rsidR="00AD31C6">
        <w:rPr>
          <w:rFonts w:asciiTheme="majorBidi" w:hAnsiTheme="majorBidi" w:cstheme="majorBidi"/>
          <w:color w:val="000000" w:themeColor="text1"/>
          <w:lang w:val="en-GB"/>
        </w:rPr>
        <w:t>U</w:t>
      </w:r>
      <w:r w:rsidRPr="00D22D4E">
        <w:rPr>
          <w:rFonts w:asciiTheme="majorBidi" w:hAnsiTheme="majorBidi" w:cstheme="majorBidi"/>
          <w:color w:val="000000" w:themeColor="text1"/>
          <w:lang w:val="en-GB"/>
        </w:rPr>
        <w:t>nemployed people tend to have impaired health, especially mental health</w:t>
      </w:r>
      <w:r w:rsidR="00AD31C6">
        <w:rPr>
          <w:rFonts w:asciiTheme="majorBidi" w:hAnsiTheme="majorBidi" w:cstheme="majorBidi"/>
          <w:color w:val="000000" w:themeColor="text1"/>
          <w:lang w:val="en-GB"/>
        </w:rPr>
        <w:t>,</w:t>
      </w:r>
      <w:r w:rsidRPr="00D22D4E">
        <w:rPr>
          <w:rFonts w:asciiTheme="majorBidi" w:hAnsiTheme="majorBidi" w:cstheme="majorBidi"/>
          <w:color w:val="000000" w:themeColor="text1"/>
          <w:lang w:val="en-GB"/>
        </w:rPr>
        <w:t xml:space="preserve"> including</w:t>
      </w:r>
      <w:r w:rsidR="00AD31C6">
        <w:rPr>
          <w:rFonts w:asciiTheme="majorBidi" w:hAnsiTheme="majorBidi" w:cstheme="majorBidi"/>
          <w:color w:val="000000" w:themeColor="text1"/>
          <w:lang w:val="en-GB"/>
        </w:rPr>
        <w:t>,</w:t>
      </w:r>
      <w:r w:rsidRPr="00D22D4E">
        <w:rPr>
          <w:rFonts w:asciiTheme="majorBidi" w:hAnsiTheme="majorBidi" w:cstheme="majorBidi"/>
          <w:color w:val="000000" w:themeColor="text1"/>
          <w:lang w:val="en-GB"/>
        </w:rPr>
        <w:t xml:space="preserve"> stress, and other chronic diseases </w:t>
      </w:r>
      <w:r w:rsidRPr="00D22D4E">
        <w:rPr>
          <w:rFonts w:asciiTheme="majorBidi" w:hAnsiTheme="majorBidi" w:cstheme="majorBidi"/>
          <w:color w:val="000000" w:themeColor="text1"/>
          <w:lang w:val="en-GB"/>
        </w:rPr>
        <w:fldChar w:fldCharType="begin" w:fldLock="1"/>
      </w:r>
      <w:r w:rsidR="001E0420" w:rsidRPr="00D22D4E">
        <w:rPr>
          <w:rFonts w:asciiTheme="majorBidi" w:hAnsiTheme="majorBidi" w:cstheme="majorBidi"/>
          <w:color w:val="000000" w:themeColor="text1"/>
          <w:lang w:val="en-GB"/>
        </w:rPr>
        <w:instrText>ADDIN CSL_CITATION {"citationItems":[{"id":"ITEM-1","itemData":{"DOI":"10.5402/2012/483432","ISSN":"null","abstract":"The purpose of this study was to examine the impact of employment status and unemployment duration on perceived health, access to health care, and health risk behaviors. Data from Nevada's 2009 Behavioral Risk Factor Surveillance System (BRFSS) were analyzed. We compared participants who were unemployed (greater than and less than one year) to those who were employed and those who were voluntarily out of the labor force (OLF). Unemployed participants had significantly worse perceived mental health profiles, were more likely to delay health care services due to cost, and were less likely to have access to health care than employed participants and OLF participants.   OLF participants were not significantly different from employed participants. Contrary to previous findings, unemployed participants in this study were not more likely to binge drink, smoke, or be physically inactive. Findings from this study suggest that the impetus for unemployment, be it voluntary or involuntary, may significantly impact a person's mental health.","author":[{"dropping-particle":"","family":"Pharr","given":"Jennifer R","non-dropping-particle":"","parse-names":false,"suffix":""},{"dropping-particle":"","family":"Moonie","given":"Sheniz","non-dropping-particle":"","parse-names":false,"suffix":""},{"dropping-particle":"","family":"Bungum","given":"Timothy J","non-dropping-particle":"","parse-names":false,"suffix":""}],"container-title":"ISRN Public Health","editor":[{"dropping-particle":"","family":"Allam","given":"M F","non-dropping-particle":"","parse-names":false,"suffix":""},{"dropping-particle":"","family":"Bendtsen","given":"P","non-dropping-particle":"","parse-names":false,"suffix":""},{"dropping-particle":"","family":"Al-Faris","given":"E A","non-dropping-particle":"","parse-names":false,"suffix":""}],"id":"ITEM-1","issued":{"date-parts":[["2012"]]},"page":"483432","publisher":"International Scholarly Research Network","title":"The Impact of Unemployment on Mental and Physical Health, Access to Health Care and Health Risk Behaviors","type":"article-journal","volume":"2012"},"uris":["http://www.mendeley.com/documents/?uuid=3d3851b5-fa5c-4452-9f99-07311e4f0385"]}],"mendeley":{"formattedCitation":"(Pharr, Moonie and Bungum, 2012)","plainTextFormattedCitation":"(Pharr, Moonie and Bungum, 2012)","previouslyFormattedCitation":"(Pharr, Moonie and Bungum, 2012)"},"properties":{"noteIndex":0},"schema":"https://github.com/citation-style-language/schema/raw/master/csl-citation.json"}</w:instrText>
      </w:r>
      <w:r w:rsidRPr="00D22D4E">
        <w:rPr>
          <w:rFonts w:asciiTheme="majorBidi" w:hAnsiTheme="majorBidi" w:cstheme="majorBidi"/>
          <w:color w:val="000000" w:themeColor="text1"/>
          <w:lang w:val="en-GB"/>
        </w:rPr>
        <w:fldChar w:fldCharType="separate"/>
      </w:r>
      <w:r w:rsidRPr="00D22D4E">
        <w:rPr>
          <w:rFonts w:asciiTheme="majorBidi" w:hAnsiTheme="majorBidi" w:cstheme="majorBidi"/>
          <w:noProof/>
          <w:color w:val="000000" w:themeColor="text1"/>
          <w:lang w:val="en-GB"/>
        </w:rPr>
        <w:t>(Pharr, Moonie and Bungum, 2012)</w:t>
      </w:r>
      <w:r w:rsidRPr="00D22D4E">
        <w:rPr>
          <w:rFonts w:asciiTheme="majorBidi" w:hAnsiTheme="majorBidi" w:cstheme="majorBidi"/>
          <w:color w:val="000000" w:themeColor="text1"/>
          <w:lang w:val="en-GB"/>
        </w:rPr>
        <w:fldChar w:fldCharType="end"/>
      </w:r>
      <w:r w:rsidRPr="00D22D4E">
        <w:rPr>
          <w:rFonts w:asciiTheme="majorBidi" w:hAnsiTheme="majorBidi" w:cstheme="majorBidi"/>
          <w:color w:val="000000" w:themeColor="text1"/>
          <w:lang w:val="en-GB"/>
        </w:rPr>
        <w:t xml:space="preserve">. </w:t>
      </w:r>
      <w:r w:rsidR="00AD31C6">
        <w:rPr>
          <w:rFonts w:asciiTheme="majorBidi" w:hAnsiTheme="majorBidi" w:cstheme="majorBidi"/>
          <w:color w:val="000000" w:themeColor="text1"/>
          <w:lang w:val="en-GB"/>
        </w:rPr>
        <w:t>The l</w:t>
      </w:r>
      <w:r w:rsidR="00971085" w:rsidRPr="00D22D4E">
        <w:rPr>
          <w:rFonts w:asciiTheme="majorBidi" w:hAnsiTheme="majorBidi" w:cstheme="majorBidi"/>
          <w:color w:val="000000" w:themeColor="text1"/>
          <w:lang w:val="en-GB"/>
        </w:rPr>
        <w:t xml:space="preserve">ow employment rate in Indigenous Australians </w:t>
      </w:r>
      <w:r w:rsidR="00FC388A" w:rsidRPr="00D22D4E">
        <w:rPr>
          <w:rFonts w:asciiTheme="majorBidi" w:hAnsiTheme="majorBidi" w:cstheme="majorBidi"/>
          <w:color w:val="000000" w:themeColor="text1"/>
          <w:lang w:val="en-GB"/>
        </w:rPr>
        <w:t>is linked</w:t>
      </w:r>
      <w:r w:rsidR="00971085" w:rsidRPr="00D22D4E">
        <w:rPr>
          <w:rFonts w:asciiTheme="majorBidi" w:hAnsiTheme="majorBidi" w:cstheme="majorBidi"/>
          <w:color w:val="000000" w:themeColor="text1"/>
          <w:lang w:val="en-GB"/>
        </w:rPr>
        <w:t xml:space="preserve"> to deteriorating health condition. Unemployment is associated with various other shortcomings such as scarcity, poor health and education, short life span, increased substance use, and crimes</w:t>
      </w:r>
      <w:r w:rsidR="001E0420" w:rsidRPr="00D22D4E">
        <w:rPr>
          <w:rFonts w:asciiTheme="majorBidi" w:hAnsiTheme="majorBidi" w:cstheme="majorBidi"/>
          <w:color w:val="000000" w:themeColor="text1"/>
          <w:lang w:val="en-GB"/>
        </w:rPr>
        <w:t xml:space="preserve"> </w:t>
      </w:r>
      <w:r w:rsidR="001E0420" w:rsidRPr="00D22D4E">
        <w:rPr>
          <w:rFonts w:asciiTheme="majorBidi" w:hAnsiTheme="majorBidi" w:cstheme="majorBidi"/>
          <w:color w:val="000000" w:themeColor="text1"/>
          <w:lang w:val="en-GB"/>
        </w:rPr>
        <w:fldChar w:fldCharType="begin" w:fldLock="1"/>
      </w:r>
      <w:r w:rsidR="001E0420" w:rsidRPr="00D22D4E">
        <w:rPr>
          <w:rFonts w:asciiTheme="majorBidi" w:hAnsiTheme="majorBidi" w:cstheme="majorBidi"/>
          <w:color w:val="000000" w:themeColor="text1"/>
          <w:lang w:val="en-GB"/>
        </w:rPr>
        <w:instrText>ADDIN CSL_CITATION {"citationItems":[{"id":"ITEM-1","itemData":{"ISSN":"0066-4308","author":[{"dropping-particle":"","family":"Wanberg","given":"Connie R","non-dropping-particle":"","parse-names":false,"suffix":""}],"container-title":"Annual review of psychology","id":"ITEM-1","issued":{"date-parts":[["2012"]]},"page":"369-396","publisher":"Annual Reviews","title":"The individual experience of unemployment","type":"article-journal","volume":"63"},"uris":["http://www.mendeley.com/documents/?uuid=eca07023-263e-4cf6-8ce2-05c98a181369"]}],"mendeley":{"formattedCitation":"(Wanberg, 2012)","plainTextFormattedCitation":"(Wanberg, 2012)","previouslyFormattedCitation":"(Wanberg, 2012)"},"properties":{"noteIndex":0},"schema":"https://github.com/citation-style-language/schema/raw/master/csl-citation.json"}</w:instrText>
      </w:r>
      <w:r w:rsidR="001E0420" w:rsidRPr="00D22D4E">
        <w:rPr>
          <w:rFonts w:asciiTheme="majorBidi" w:hAnsiTheme="majorBidi" w:cstheme="majorBidi"/>
          <w:color w:val="000000" w:themeColor="text1"/>
          <w:lang w:val="en-GB"/>
        </w:rPr>
        <w:fldChar w:fldCharType="separate"/>
      </w:r>
      <w:r w:rsidR="001E0420" w:rsidRPr="00D22D4E">
        <w:rPr>
          <w:rFonts w:asciiTheme="majorBidi" w:hAnsiTheme="majorBidi" w:cstheme="majorBidi"/>
          <w:noProof/>
          <w:color w:val="000000" w:themeColor="text1"/>
          <w:lang w:val="en-GB"/>
        </w:rPr>
        <w:t>(Wanberg, 2012)</w:t>
      </w:r>
      <w:r w:rsidR="001E0420" w:rsidRPr="00D22D4E">
        <w:rPr>
          <w:rFonts w:asciiTheme="majorBidi" w:hAnsiTheme="majorBidi" w:cstheme="majorBidi"/>
          <w:color w:val="000000" w:themeColor="text1"/>
          <w:lang w:val="en-GB"/>
        </w:rPr>
        <w:fldChar w:fldCharType="end"/>
      </w:r>
      <w:r w:rsidR="00971085" w:rsidRPr="00D22D4E">
        <w:rPr>
          <w:rFonts w:asciiTheme="majorBidi" w:hAnsiTheme="majorBidi" w:cstheme="majorBidi"/>
          <w:color w:val="000000" w:themeColor="text1"/>
          <w:lang w:val="en-GB"/>
        </w:rPr>
        <w:t>.</w:t>
      </w:r>
      <w:r w:rsidR="001E0420" w:rsidRPr="00D22D4E">
        <w:rPr>
          <w:rFonts w:asciiTheme="majorBidi" w:hAnsiTheme="majorBidi" w:cstheme="majorBidi"/>
          <w:color w:val="000000" w:themeColor="text1"/>
          <w:lang w:val="en-GB"/>
        </w:rPr>
        <w:t xml:space="preserve"> Studies show that, extended duration of unemployment can influence the health and wellbeing of a person badly. Both physical and mental health can be affected by unemployment </w:t>
      </w:r>
      <w:r w:rsidR="001E0420" w:rsidRPr="00D22D4E">
        <w:rPr>
          <w:rFonts w:asciiTheme="majorBidi" w:hAnsiTheme="majorBidi" w:cstheme="majorBidi"/>
          <w:color w:val="000000" w:themeColor="text1"/>
          <w:lang w:val="en-GB"/>
        </w:rPr>
        <w:fldChar w:fldCharType="begin" w:fldLock="1"/>
      </w:r>
      <w:r w:rsidR="00BE6A73" w:rsidRPr="00D22D4E">
        <w:rPr>
          <w:rFonts w:asciiTheme="majorBidi" w:hAnsiTheme="majorBidi" w:cstheme="majorBidi"/>
          <w:color w:val="000000" w:themeColor="text1"/>
          <w:lang w:val="en-GB"/>
        </w:rPr>
        <w:instrText>ADDIN CSL_CITATION {"citationItems":[{"id":"ITEM-1","itemData":{"ISSN":"1472-6963","author":[{"dropping-particle":"","family":"Aspin","given":"Clive","non-dropping-particle":"","parse-names":false,"suffix":""},{"dropping-particle":"","family":"Brown","given":"Ngiare","non-dropping-particle":"","parse-names":false,"suffix":""},{"dropping-particle":"","family":"Jowsey","given":"Tanisha","non-dropping-particle":"","parse-names":false,"suffix":""},{"dropping-particle":"","family":"Yen","given":"Laurann","non-dropping-particle":"","parse-names":false,"suffix":""},{"dropping-particle":"","family":"Leeder","given":"Stephen","non-dropping-particle":"","parse-names":false,"suffix":""}],"container-title":"BMC health services research","id":"ITEM-1","issue":"1","issued":{"date-parts":[["2012"]]},"page":"1-9","publisher":"BioMed Central","title":"Strategic approaches to enhanced health service delivery for Aboriginal and Torres Strait Islander people with chronic illness: a qualitative study","type":"article-journal","volume":"12"},"uris":["http://www.mendeley.com/documents/?uuid=c73c1aae-8411-4d35-b927-bdf74dbda5a7"]}],"mendeley":{"formattedCitation":"(Aspin &lt;i&gt;et al.&lt;/i&gt;, 2012)","plainTextFormattedCitation":"(Aspin et al., 2012)","previouslyFormattedCitation":"(Aspin &lt;i&gt;et al.&lt;/i&gt;, 2012)"},"properties":{"noteIndex":0},"schema":"https://github.com/citation-style-language/schema/raw/master/csl-citation.json"}</w:instrText>
      </w:r>
      <w:r w:rsidR="001E0420" w:rsidRPr="00D22D4E">
        <w:rPr>
          <w:rFonts w:asciiTheme="majorBidi" w:hAnsiTheme="majorBidi" w:cstheme="majorBidi"/>
          <w:color w:val="000000" w:themeColor="text1"/>
          <w:lang w:val="en-GB"/>
        </w:rPr>
        <w:fldChar w:fldCharType="separate"/>
      </w:r>
      <w:r w:rsidR="001E0420" w:rsidRPr="00D22D4E">
        <w:rPr>
          <w:rFonts w:asciiTheme="majorBidi" w:hAnsiTheme="majorBidi" w:cstheme="majorBidi"/>
          <w:noProof/>
          <w:color w:val="000000" w:themeColor="text1"/>
          <w:lang w:val="en-GB"/>
        </w:rPr>
        <w:t xml:space="preserve">(Aspin </w:t>
      </w:r>
      <w:r w:rsidR="001E0420" w:rsidRPr="00D22D4E">
        <w:rPr>
          <w:rFonts w:asciiTheme="majorBidi" w:hAnsiTheme="majorBidi" w:cstheme="majorBidi"/>
          <w:i/>
          <w:noProof/>
          <w:color w:val="000000" w:themeColor="text1"/>
          <w:lang w:val="en-GB"/>
        </w:rPr>
        <w:t>et al.</w:t>
      </w:r>
      <w:r w:rsidR="001E0420" w:rsidRPr="00D22D4E">
        <w:rPr>
          <w:rFonts w:asciiTheme="majorBidi" w:hAnsiTheme="majorBidi" w:cstheme="majorBidi"/>
          <w:noProof/>
          <w:color w:val="000000" w:themeColor="text1"/>
          <w:lang w:val="en-GB"/>
        </w:rPr>
        <w:t>, 2012)</w:t>
      </w:r>
      <w:r w:rsidR="001E0420" w:rsidRPr="00D22D4E">
        <w:rPr>
          <w:rFonts w:asciiTheme="majorBidi" w:hAnsiTheme="majorBidi" w:cstheme="majorBidi"/>
          <w:color w:val="000000" w:themeColor="text1"/>
          <w:lang w:val="en-GB"/>
        </w:rPr>
        <w:fldChar w:fldCharType="end"/>
      </w:r>
      <w:r w:rsidR="001E0420" w:rsidRPr="00D22D4E">
        <w:rPr>
          <w:rFonts w:asciiTheme="majorBidi" w:hAnsiTheme="majorBidi" w:cstheme="majorBidi"/>
          <w:color w:val="000000" w:themeColor="text1"/>
          <w:lang w:val="en-GB"/>
        </w:rPr>
        <w:t xml:space="preserve">. </w:t>
      </w:r>
    </w:p>
    <w:p w14:paraId="29C30587" w14:textId="367273C5" w:rsidR="001E0420" w:rsidRPr="00D22D4E" w:rsidRDefault="00AD31C6" w:rsidP="00D22D4E">
      <w:pPr>
        <w:jc w:val="both"/>
        <w:rPr>
          <w:rFonts w:asciiTheme="majorBidi" w:hAnsiTheme="majorBidi" w:cstheme="majorBidi"/>
          <w:color w:val="000000" w:themeColor="text1"/>
          <w:lang w:val="en-US"/>
        </w:rPr>
      </w:pPr>
      <w:r>
        <w:rPr>
          <w:rFonts w:asciiTheme="majorBidi" w:hAnsiTheme="majorBidi" w:cstheme="majorBidi"/>
          <w:color w:val="000000" w:themeColor="text1"/>
          <w:lang w:val="en-GB"/>
        </w:rPr>
        <w:t>The e</w:t>
      </w:r>
      <w:r w:rsidR="001E0420" w:rsidRPr="00D22D4E">
        <w:rPr>
          <w:rFonts w:asciiTheme="majorBidi" w:hAnsiTheme="majorBidi" w:cstheme="majorBidi"/>
          <w:color w:val="000000" w:themeColor="text1"/>
          <w:lang w:val="en-GB"/>
        </w:rPr>
        <w:t xml:space="preserve">mployment rate in Aboriginal and Torres Islanders have been reported low as compared to Non-Indigenous Australians. </w:t>
      </w:r>
      <w:r w:rsidR="003941A1" w:rsidRPr="00D22D4E">
        <w:rPr>
          <w:rFonts w:asciiTheme="majorBidi" w:hAnsiTheme="majorBidi" w:cstheme="majorBidi"/>
          <w:color w:val="000000" w:themeColor="text1"/>
          <w:lang w:val="en-GB"/>
        </w:rPr>
        <w:t xml:space="preserve">Studies conducted in 2008 showed the 60% employment rate in Indigenous Australians as compared to Non-Indigenous Australians with 80% employment rate. Even in Indigenous Australians, </w:t>
      </w:r>
      <w:r w:rsidR="00FC388A">
        <w:rPr>
          <w:rFonts w:asciiTheme="majorBidi" w:hAnsiTheme="majorBidi" w:cstheme="majorBidi"/>
          <w:color w:val="000000" w:themeColor="text1"/>
          <w:lang w:val="en-GB"/>
        </w:rPr>
        <w:t xml:space="preserve">the </w:t>
      </w:r>
      <w:r w:rsidR="003941A1" w:rsidRPr="00D22D4E">
        <w:rPr>
          <w:rFonts w:asciiTheme="majorBidi" w:hAnsiTheme="majorBidi" w:cstheme="majorBidi"/>
          <w:color w:val="000000" w:themeColor="text1"/>
          <w:lang w:val="en-GB"/>
        </w:rPr>
        <w:t>employment rate was relatively higher in remote areas as compared to non-remote areas. 19% of the people of remote areas participated in community development contrary to 1% people of non-remote areas</w:t>
      </w:r>
      <w:r w:rsidR="00BE6A73" w:rsidRPr="00D22D4E">
        <w:rPr>
          <w:rFonts w:asciiTheme="majorBidi" w:hAnsiTheme="majorBidi" w:cstheme="majorBidi"/>
          <w:color w:val="000000" w:themeColor="text1"/>
          <w:lang w:val="en-GB"/>
        </w:rPr>
        <w:t xml:space="preserve"> </w:t>
      </w:r>
      <w:r w:rsidR="00BE6A73" w:rsidRPr="00D22D4E">
        <w:rPr>
          <w:rFonts w:asciiTheme="majorBidi" w:hAnsiTheme="majorBidi" w:cstheme="majorBidi"/>
          <w:color w:val="000000" w:themeColor="text1"/>
          <w:lang w:val="en-GB"/>
        </w:rPr>
        <w:fldChar w:fldCharType="begin" w:fldLock="1"/>
      </w:r>
      <w:r w:rsidR="00BE6A73" w:rsidRPr="00D22D4E">
        <w:rPr>
          <w:rFonts w:asciiTheme="majorBidi" w:hAnsiTheme="majorBidi" w:cstheme="majorBidi"/>
          <w:color w:val="000000" w:themeColor="text1"/>
          <w:lang w:val="en-GB"/>
        </w:rPr>
        <w:instrText>ADDIN CSL_CITATION {"citationItems":[{"id":"ITEM-1","itemData":{"ISSN":"0729-4352","author":[{"dropping-particle":"","family":"Ewing","given":"Bronwyn","non-dropping-particle":"","parse-names":false,"suffix":""},{"dropping-particle":"","family":"Sarra","given":"Grace","non-dropping-particle":"","parse-names":false,"suffix":""},{"dropping-particle":"","family":"Price","given":"Robin","non-dropping-particle":"","parse-names":false,"suffix":""},{"dropping-particle":"","family":"O'Brien","given":"Grace","non-dropping-particle":"","parse-names":false,"suffix":""},{"dropping-particle":"","family":"Priddle","given":"Chelsey","non-dropping-particle":"","parse-names":false,"suffix":""}],"container-title":"Australian Aboriginal Studies","id":"ITEM-1","issue":"2","issued":{"date-parts":[["2017"]]},"page":"27-42","title":"Access to sustainable employment and productive training: workplace participation strategies for Indigenous employees","type":"article-journal"},"uris":["http://www.mendeley.com/documents/?uuid=ad70edf0-340f-48e3-b716-23dc72f8ba6f"]}],"mendeley":{"formattedCitation":"(Ewing &lt;i&gt;et al.&lt;/i&gt;, 2017)","plainTextFormattedCitation":"(Ewing et al., 2017)","previouslyFormattedCitation":"(Ewing &lt;i&gt;et al.&lt;/i&gt;, 2017)"},"properties":{"noteIndex":0},"schema":"https://github.com/citation-style-language/schema/raw/master/csl-citation.json"}</w:instrText>
      </w:r>
      <w:r w:rsidR="00BE6A73" w:rsidRPr="00D22D4E">
        <w:rPr>
          <w:rFonts w:asciiTheme="majorBidi" w:hAnsiTheme="majorBidi" w:cstheme="majorBidi"/>
          <w:color w:val="000000" w:themeColor="text1"/>
          <w:lang w:val="en-GB"/>
        </w:rPr>
        <w:fldChar w:fldCharType="separate"/>
      </w:r>
      <w:r w:rsidR="00BE6A73" w:rsidRPr="00D22D4E">
        <w:rPr>
          <w:rFonts w:asciiTheme="majorBidi" w:hAnsiTheme="majorBidi" w:cstheme="majorBidi"/>
          <w:noProof/>
          <w:color w:val="000000" w:themeColor="text1"/>
          <w:lang w:val="en-GB"/>
        </w:rPr>
        <w:t xml:space="preserve">(Ewing </w:t>
      </w:r>
      <w:r w:rsidR="00BE6A73" w:rsidRPr="00D22D4E">
        <w:rPr>
          <w:rFonts w:asciiTheme="majorBidi" w:hAnsiTheme="majorBidi" w:cstheme="majorBidi"/>
          <w:i/>
          <w:noProof/>
          <w:color w:val="000000" w:themeColor="text1"/>
          <w:lang w:val="en-GB"/>
        </w:rPr>
        <w:t>et al.</w:t>
      </w:r>
      <w:r w:rsidR="00BE6A73" w:rsidRPr="00D22D4E">
        <w:rPr>
          <w:rFonts w:asciiTheme="majorBidi" w:hAnsiTheme="majorBidi" w:cstheme="majorBidi"/>
          <w:noProof/>
          <w:color w:val="000000" w:themeColor="text1"/>
          <w:lang w:val="en-GB"/>
        </w:rPr>
        <w:t>, 2017)</w:t>
      </w:r>
      <w:r w:rsidR="00BE6A73" w:rsidRPr="00D22D4E">
        <w:rPr>
          <w:rFonts w:asciiTheme="majorBidi" w:hAnsiTheme="majorBidi" w:cstheme="majorBidi"/>
          <w:color w:val="000000" w:themeColor="text1"/>
          <w:lang w:val="en-GB"/>
        </w:rPr>
        <w:fldChar w:fldCharType="end"/>
      </w:r>
      <w:r w:rsidR="003941A1" w:rsidRPr="00D22D4E">
        <w:rPr>
          <w:rFonts w:asciiTheme="majorBidi" w:hAnsiTheme="majorBidi" w:cstheme="majorBidi"/>
          <w:color w:val="000000" w:themeColor="text1"/>
          <w:lang w:val="en-GB"/>
        </w:rPr>
        <w:t xml:space="preserve">. </w:t>
      </w:r>
      <w:r w:rsidR="009A5A84" w:rsidRPr="00D22D4E">
        <w:rPr>
          <w:rFonts w:asciiTheme="majorBidi" w:hAnsiTheme="majorBidi" w:cstheme="majorBidi"/>
          <w:color w:val="000000" w:themeColor="text1"/>
          <w:lang w:val="en-GB"/>
        </w:rPr>
        <w:t xml:space="preserve">According to the </w:t>
      </w:r>
      <w:r w:rsidR="009A5A84" w:rsidRPr="00D22D4E">
        <w:rPr>
          <w:rFonts w:asciiTheme="majorBidi" w:hAnsiTheme="majorBidi" w:cstheme="majorBidi"/>
          <w:color w:val="000000" w:themeColor="text1"/>
          <w:shd w:val="clear" w:color="auto" w:fill="FFFFFF"/>
        </w:rPr>
        <w:t>Prime Minister's Closing the Gap report</w:t>
      </w:r>
      <w:r w:rsidR="009A5A84" w:rsidRPr="00D22D4E">
        <w:rPr>
          <w:rFonts w:asciiTheme="majorBidi" w:hAnsiTheme="majorBidi" w:cstheme="majorBidi"/>
          <w:color w:val="000000" w:themeColor="text1"/>
          <w:shd w:val="clear" w:color="auto" w:fill="FFFFFF"/>
          <w:lang w:val="en-US"/>
        </w:rPr>
        <w:t>, no obvious progress in the employment rate of Indigenous Australians has been noticed since 2018.</w:t>
      </w:r>
      <w:r>
        <w:rPr>
          <w:rFonts w:asciiTheme="majorBidi" w:hAnsiTheme="majorBidi" w:cstheme="majorBidi"/>
          <w:color w:val="000000" w:themeColor="text1"/>
          <w:shd w:val="clear" w:color="auto" w:fill="FFFFFF"/>
          <w:lang w:val="en-US"/>
        </w:rPr>
        <w:t xml:space="preserve"> The e</w:t>
      </w:r>
      <w:r w:rsidR="009A5A84" w:rsidRPr="00D22D4E">
        <w:rPr>
          <w:rFonts w:asciiTheme="majorBidi" w:hAnsiTheme="majorBidi" w:cstheme="majorBidi"/>
          <w:color w:val="000000" w:themeColor="text1"/>
          <w:shd w:val="clear" w:color="auto" w:fill="FFFFFF"/>
          <w:lang w:val="en-US"/>
        </w:rPr>
        <w:t xml:space="preserve">mployment rate in Aboriginals and Torres Islanders has been declined from 53.8% to 47.5% between 2008-2013 </w:t>
      </w:r>
      <w:r w:rsidR="009A5A84" w:rsidRPr="00862F7A">
        <w:rPr>
          <w:rFonts w:asciiTheme="majorBidi" w:hAnsiTheme="majorBidi" w:cstheme="majorBidi"/>
          <w:color w:val="000000" w:themeColor="text1"/>
          <w:shd w:val="clear" w:color="auto" w:fill="FFFFFF"/>
        </w:rPr>
        <w:t>(</w:t>
      </w:r>
      <w:r w:rsidR="00862F7A" w:rsidRPr="00862F7A">
        <w:rPr>
          <w:rFonts w:asciiTheme="majorBidi" w:hAnsiTheme="majorBidi" w:cstheme="majorBidi"/>
          <w:color w:val="000000"/>
          <w:shd w:val="clear" w:color="auto" w:fill="FFFFFF"/>
        </w:rPr>
        <w:t>Australian Government|Australian Institute of Health and Welfare</w:t>
      </w:r>
      <w:r w:rsidR="00862F7A" w:rsidRPr="00862F7A">
        <w:rPr>
          <w:rFonts w:asciiTheme="majorBidi" w:hAnsiTheme="majorBidi" w:cstheme="majorBidi"/>
          <w:color w:val="000000"/>
          <w:shd w:val="clear" w:color="auto" w:fill="FFFFFF"/>
          <w:lang w:val="en-US"/>
        </w:rPr>
        <w:t>, 2019</w:t>
      </w:r>
      <w:r w:rsidR="003E1942">
        <w:rPr>
          <w:rFonts w:asciiTheme="majorBidi" w:hAnsiTheme="majorBidi" w:cstheme="majorBidi"/>
          <w:color w:val="000000"/>
          <w:shd w:val="clear" w:color="auto" w:fill="FFFFFF"/>
          <w:lang w:val="en-US"/>
        </w:rPr>
        <w:t>a</w:t>
      </w:r>
      <w:r w:rsidR="009A5A84" w:rsidRPr="00862F7A">
        <w:rPr>
          <w:rFonts w:asciiTheme="majorBidi" w:hAnsiTheme="majorBidi" w:cstheme="majorBidi"/>
          <w:color w:val="000000" w:themeColor="text1"/>
          <w:shd w:val="clear" w:color="auto" w:fill="FFFFFF"/>
        </w:rPr>
        <w:t>)</w:t>
      </w:r>
      <w:r w:rsidR="009A5A84" w:rsidRPr="00862F7A">
        <w:rPr>
          <w:rFonts w:asciiTheme="majorBidi" w:hAnsiTheme="majorBidi" w:cstheme="majorBidi"/>
          <w:color w:val="000000" w:themeColor="text1"/>
          <w:shd w:val="clear" w:color="auto" w:fill="FFFFFF"/>
          <w:lang w:val="en-US"/>
        </w:rPr>
        <w:t>.</w:t>
      </w:r>
      <w:r w:rsidR="00BE6A73" w:rsidRPr="00D22D4E">
        <w:rPr>
          <w:rFonts w:asciiTheme="majorBidi" w:hAnsiTheme="majorBidi" w:cstheme="majorBidi"/>
          <w:color w:val="000000" w:themeColor="text1"/>
          <w:shd w:val="clear" w:color="auto" w:fill="FFFFFF"/>
          <w:lang w:val="en-US"/>
        </w:rPr>
        <w:t xml:space="preserve"> According to the </w:t>
      </w:r>
      <w:r w:rsidR="00BE6A73" w:rsidRPr="00D22D4E">
        <w:rPr>
          <w:rFonts w:asciiTheme="majorBidi" w:hAnsiTheme="majorBidi" w:cstheme="majorBidi"/>
          <w:color w:val="000000" w:themeColor="text1"/>
          <w:shd w:val="clear" w:color="auto" w:fill="FFFFFF"/>
        </w:rPr>
        <w:t>National Aboriginal and Torres Strait Islander Social Survey (NATSISS)</w:t>
      </w:r>
      <w:r w:rsidR="00BE6A73" w:rsidRPr="00D22D4E">
        <w:rPr>
          <w:rFonts w:asciiTheme="majorBidi" w:hAnsiTheme="majorBidi" w:cstheme="majorBidi"/>
          <w:color w:val="000000" w:themeColor="text1"/>
          <w:shd w:val="clear" w:color="auto" w:fill="FFFFFF"/>
          <w:lang w:val="en-US"/>
        </w:rPr>
        <w:t xml:space="preserve"> conducted between 2014-15, only 46% of Indigenous Australians were working </w:t>
      </w:r>
      <w:r w:rsidR="00BE6A73" w:rsidRPr="00D22D4E">
        <w:rPr>
          <w:rFonts w:asciiTheme="majorBidi" w:hAnsiTheme="majorBidi" w:cstheme="majorBidi"/>
          <w:color w:val="000000" w:themeColor="text1"/>
          <w:shd w:val="clear" w:color="auto" w:fill="FFFFFF"/>
          <w:lang w:val="en-US"/>
        </w:rPr>
        <w:fldChar w:fldCharType="begin" w:fldLock="1"/>
      </w:r>
      <w:r w:rsidR="00D22D4E" w:rsidRPr="00D22D4E">
        <w:rPr>
          <w:rFonts w:asciiTheme="majorBidi" w:hAnsiTheme="majorBidi" w:cstheme="majorBidi"/>
          <w:color w:val="000000" w:themeColor="text1"/>
          <w:shd w:val="clear" w:color="auto" w:fill="FFFFFF"/>
          <w:lang w:val="en-US"/>
        </w:rPr>
        <w:instrText>ADDIN CSL_CITATION {"citationItems":[{"id":"ITEM-1","itemData":{"ISSN":"0729-4352","author":[{"dropping-particle":"","family":"Ewing","given":"Bronwyn","non-dropping-particle":"","parse-names":false,"suffix":""},{"dropping-particle":"","family":"Sarra","given":"Grace","non-dropping-particle":"","parse-names":false,"suffix":""},{"dropping-particle":"","family":"Price","given":"Robin","non-dropping-particle":"","parse-names":false,"suffix":""},{"dropping-particle":"","family":"O'Brien","given":"Grace","non-dropping-particle":"","parse-names":false,"suffix":""},{"dropping-particle":"","family":"Priddle","given":"Chelsey","non-dropping-particle":"","parse-names":false,"suffix":""}],"container-title":"Australian Aboriginal Studies","id":"ITEM-1","issue":"2","issued":{"date-parts":[["2017"]]},"page":"27-42","title":"Access to sustainable employment and productive training: workplace participation strategies for Indigenous employees","type":"article-journal"},"uris":["http://www.mendeley.com/documents/?uuid=ad70edf0-340f-48e3-b716-23dc72f8ba6f"]}],"mendeley":{"formattedCitation":"(Ewing &lt;i&gt;et al.&lt;/i&gt;, 2017)","plainTextFormattedCitation":"(Ewing et al., 2017)","previouslyFormattedCitation":"(Ewing &lt;i&gt;et al.&lt;/i&gt;, 2017)"},"properties":{"noteIndex":0},"schema":"https://github.com/citation-style-language/schema/raw/master/csl-citation.json"}</w:instrText>
      </w:r>
      <w:r w:rsidR="00BE6A73" w:rsidRPr="00D22D4E">
        <w:rPr>
          <w:rFonts w:asciiTheme="majorBidi" w:hAnsiTheme="majorBidi" w:cstheme="majorBidi"/>
          <w:color w:val="000000" w:themeColor="text1"/>
          <w:shd w:val="clear" w:color="auto" w:fill="FFFFFF"/>
          <w:lang w:val="en-US"/>
        </w:rPr>
        <w:fldChar w:fldCharType="separate"/>
      </w:r>
      <w:r w:rsidR="00BE6A73" w:rsidRPr="00D22D4E">
        <w:rPr>
          <w:rFonts w:asciiTheme="majorBidi" w:hAnsiTheme="majorBidi" w:cstheme="majorBidi"/>
          <w:noProof/>
          <w:color w:val="000000" w:themeColor="text1"/>
          <w:shd w:val="clear" w:color="auto" w:fill="FFFFFF"/>
          <w:lang w:val="en-US"/>
        </w:rPr>
        <w:t xml:space="preserve">(Ewing </w:t>
      </w:r>
      <w:r w:rsidR="00BE6A73" w:rsidRPr="00D22D4E">
        <w:rPr>
          <w:rFonts w:asciiTheme="majorBidi" w:hAnsiTheme="majorBidi" w:cstheme="majorBidi"/>
          <w:i/>
          <w:noProof/>
          <w:color w:val="000000" w:themeColor="text1"/>
          <w:shd w:val="clear" w:color="auto" w:fill="FFFFFF"/>
          <w:lang w:val="en-US"/>
        </w:rPr>
        <w:t>et al.</w:t>
      </w:r>
      <w:r w:rsidR="00BE6A73" w:rsidRPr="00D22D4E">
        <w:rPr>
          <w:rFonts w:asciiTheme="majorBidi" w:hAnsiTheme="majorBidi" w:cstheme="majorBidi"/>
          <w:noProof/>
          <w:color w:val="000000" w:themeColor="text1"/>
          <w:shd w:val="clear" w:color="auto" w:fill="FFFFFF"/>
          <w:lang w:val="en-US"/>
        </w:rPr>
        <w:t>, 2017)</w:t>
      </w:r>
      <w:r w:rsidR="00BE6A73" w:rsidRPr="00D22D4E">
        <w:rPr>
          <w:rFonts w:asciiTheme="majorBidi" w:hAnsiTheme="majorBidi" w:cstheme="majorBidi"/>
          <w:color w:val="000000" w:themeColor="text1"/>
          <w:shd w:val="clear" w:color="auto" w:fill="FFFFFF"/>
          <w:lang w:val="en-US"/>
        </w:rPr>
        <w:fldChar w:fldCharType="end"/>
      </w:r>
      <w:r w:rsidR="00BE6A73" w:rsidRPr="00D22D4E">
        <w:rPr>
          <w:rFonts w:asciiTheme="majorBidi" w:hAnsiTheme="majorBidi" w:cstheme="majorBidi"/>
          <w:color w:val="000000" w:themeColor="text1"/>
          <w:shd w:val="clear" w:color="auto" w:fill="FFFFFF"/>
          <w:lang w:val="en-US"/>
        </w:rPr>
        <w:t>.</w:t>
      </w:r>
    </w:p>
    <w:p w14:paraId="4693AA76" w14:textId="4006F5D9" w:rsidR="00BE6A73" w:rsidRPr="00D22D4E" w:rsidRDefault="00BE6A73" w:rsidP="00D22D4E">
      <w:pPr>
        <w:autoSpaceDE w:val="0"/>
        <w:autoSpaceDN w:val="0"/>
        <w:adjustRightInd w:val="0"/>
        <w:jc w:val="both"/>
        <w:rPr>
          <w:rFonts w:asciiTheme="majorBidi" w:eastAsiaTheme="minorHAnsi" w:hAnsiTheme="majorBidi" w:cstheme="majorBidi"/>
          <w:color w:val="000000" w:themeColor="text1"/>
          <w:lang w:val="en-GB" w:eastAsia="en-US"/>
        </w:rPr>
      </w:pPr>
      <w:r w:rsidRPr="00D22D4E">
        <w:rPr>
          <w:rFonts w:asciiTheme="majorBidi" w:eastAsiaTheme="minorHAnsi" w:hAnsiTheme="majorBidi" w:cstheme="majorBidi"/>
          <w:color w:val="000000" w:themeColor="text1"/>
          <w:lang w:val="en-GB" w:eastAsia="en-US"/>
        </w:rPr>
        <w:t>Regardless</w:t>
      </w:r>
      <w:r w:rsidRPr="00D22D4E">
        <w:rPr>
          <w:rFonts w:asciiTheme="majorBidi" w:eastAsiaTheme="minorHAnsi" w:hAnsiTheme="majorBidi" w:cstheme="majorBidi"/>
          <w:color w:val="000000" w:themeColor="text1"/>
          <w:lang w:val="en-GB" w:eastAsia="en-US"/>
        </w:rPr>
        <w:t xml:space="preserve"> of the </w:t>
      </w:r>
      <w:r w:rsidRPr="00D22D4E">
        <w:rPr>
          <w:rFonts w:asciiTheme="majorBidi" w:eastAsiaTheme="minorHAnsi" w:hAnsiTheme="majorBidi" w:cstheme="majorBidi"/>
          <w:color w:val="000000" w:themeColor="text1"/>
          <w:lang w:val="en-GB" w:eastAsia="en-US"/>
        </w:rPr>
        <w:t>increasing</w:t>
      </w:r>
      <w:r w:rsidRPr="00D22D4E">
        <w:rPr>
          <w:rFonts w:asciiTheme="majorBidi" w:eastAsiaTheme="minorHAnsi" w:hAnsiTheme="majorBidi" w:cstheme="majorBidi"/>
          <w:color w:val="000000" w:themeColor="text1"/>
          <w:lang w:val="en-GB" w:eastAsia="en-US"/>
        </w:rPr>
        <w:t xml:space="preserve"> </w:t>
      </w:r>
      <w:r w:rsidRPr="00D22D4E">
        <w:rPr>
          <w:rFonts w:asciiTheme="majorBidi" w:eastAsiaTheme="minorHAnsi" w:hAnsiTheme="majorBidi" w:cstheme="majorBidi"/>
          <w:color w:val="000000" w:themeColor="text1"/>
          <w:lang w:val="en-GB" w:eastAsia="en-US"/>
        </w:rPr>
        <w:t>number</w:t>
      </w:r>
      <w:r w:rsidRPr="00D22D4E">
        <w:rPr>
          <w:rFonts w:asciiTheme="majorBidi" w:eastAsiaTheme="minorHAnsi" w:hAnsiTheme="majorBidi" w:cstheme="majorBidi"/>
          <w:color w:val="000000" w:themeColor="text1"/>
          <w:lang w:val="en-GB" w:eastAsia="en-US"/>
        </w:rPr>
        <w:t xml:space="preserve"> </w:t>
      </w:r>
      <w:r w:rsidRPr="00D22D4E">
        <w:rPr>
          <w:rFonts w:asciiTheme="majorBidi" w:eastAsiaTheme="minorHAnsi" w:hAnsiTheme="majorBidi" w:cstheme="majorBidi"/>
          <w:color w:val="000000" w:themeColor="text1"/>
          <w:lang w:val="en-GB" w:eastAsia="en-US"/>
        </w:rPr>
        <w:t>of recruitments of I</w:t>
      </w:r>
      <w:r w:rsidRPr="00D22D4E">
        <w:rPr>
          <w:rFonts w:asciiTheme="majorBidi" w:eastAsiaTheme="minorHAnsi" w:hAnsiTheme="majorBidi" w:cstheme="majorBidi"/>
          <w:color w:val="000000" w:themeColor="text1"/>
          <w:lang w:val="en-GB" w:eastAsia="en-US"/>
        </w:rPr>
        <w:t xml:space="preserve">ndigenous </w:t>
      </w:r>
      <w:r w:rsidRPr="00D22D4E">
        <w:rPr>
          <w:rFonts w:asciiTheme="majorBidi" w:eastAsiaTheme="minorHAnsi" w:hAnsiTheme="majorBidi" w:cstheme="majorBidi"/>
          <w:color w:val="000000" w:themeColor="text1"/>
          <w:lang w:val="en-GB" w:eastAsia="en-US"/>
        </w:rPr>
        <w:t xml:space="preserve">Australians </w:t>
      </w:r>
      <w:r w:rsidRPr="00D22D4E">
        <w:rPr>
          <w:rFonts w:asciiTheme="majorBidi" w:eastAsiaTheme="minorHAnsi" w:hAnsiTheme="majorBidi" w:cstheme="majorBidi"/>
          <w:color w:val="000000" w:themeColor="text1"/>
          <w:lang w:val="en-GB" w:eastAsia="en-US"/>
        </w:rPr>
        <w:t xml:space="preserve">in the </w:t>
      </w:r>
      <w:r w:rsidRPr="00D22D4E">
        <w:rPr>
          <w:rFonts w:asciiTheme="majorBidi" w:eastAsiaTheme="minorHAnsi" w:hAnsiTheme="majorBidi" w:cstheme="majorBidi"/>
          <w:color w:val="000000" w:themeColor="text1"/>
          <w:lang w:val="en-GB" w:eastAsia="en-US"/>
        </w:rPr>
        <w:t>employment</w:t>
      </w:r>
      <w:r w:rsidRPr="00D22D4E">
        <w:rPr>
          <w:rFonts w:asciiTheme="majorBidi" w:eastAsiaTheme="minorHAnsi" w:hAnsiTheme="majorBidi" w:cstheme="majorBidi"/>
          <w:color w:val="000000" w:themeColor="text1"/>
          <w:lang w:val="en-GB" w:eastAsia="en-US"/>
        </w:rPr>
        <w:t xml:space="preserve"> force</w:t>
      </w:r>
      <w:r w:rsidRPr="00D22D4E">
        <w:rPr>
          <w:rFonts w:asciiTheme="majorBidi" w:eastAsiaTheme="minorHAnsi" w:hAnsiTheme="majorBidi" w:cstheme="majorBidi"/>
          <w:color w:val="000000" w:themeColor="text1"/>
          <w:lang w:val="en-GB" w:eastAsia="en-US"/>
        </w:rPr>
        <w:t>,</w:t>
      </w:r>
      <w:r w:rsidRPr="00D22D4E">
        <w:rPr>
          <w:rFonts w:asciiTheme="majorBidi" w:eastAsiaTheme="minorHAnsi" w:hAnsiTheme="majorBidi" w:cstheme="majorBidi"/>
          <w:color w:val="000000" w:themeColor="text1"/>
          <w:lang w:val="en-GB" w:eastAsia="en-US"/>
        </w:rPr>
        <w:t xml:space="preserve"> </w:t>
      </w:r>
      <w:r w:rsidRPr="00D22D4E">
        <w:rPr>
          <w:rFonts w:asciiTheme="majorBidi" w:eastAsiaTheme="minorHAnsi" w:hAnsiTheme="majorBidi" w:cstheme="majorBidi"/>
          <w:color w:val="000000" w:themeColor="text1"/>
          <w:lang w:val="en-GB" w:eastAsia="en-US"/>
        </w:rPr>
        <w:t>the gap between the employment rate of Indigenous and Non-Indigenous Australians has not been closed considerably.</w:t>
      </w:r>
      <w:r w:rsidR="00D22D4E" w:rsidRPr="00D22D4E">
        <w:rPr>
          <w:rFonts w:asciiTheme="majorBidi" w:eastAsiaTheme="minorHAnsi" w:hAnsiTheme="majorBidi" w:cstheme="majorBidi"/>
          <w:color w:val="000000" w:themeColor="text1"/>
          <w:lang w:val="en-GB" w:eastAsia="en-US"/>
        </w:rPr>
        <w:t xml:space="preserve"> </w:t>
      </w:r>
      <w:r w:rsidRPr="00D22D4E">
        <w:rPr>
          <w:rFonts w:asciiTheme="majorBidi" w:eastAsiaTheme="minorHAnsi" w:hAnsiTheme="majorBidi" w:cstheme="majorBidi"/>
          <w:color w:val="000000" w:themeColor="text1"/>
          <w:lang w:val="en-GB" w:eastAsia="en-US"/>
        </w:rPr>
        <w:t xml:space="preserve">Some of the </w:t>
      </w:r>
      <w:r w:rsidR="00A93B9C" w:rsidRPr="00D22D4E">
        <w:rPr>
          <w:rFonts w:asciiTheme="majorBidi" w:eastAsiaTheme="minorHAnsi" w:hAnsiTheme="majorBidi" w:cstheme="majorBidi"/>
          <w:color w:val="000000" w:themeColor="text1"/>
          <w:lang w:val="en-GB" w:eastAsia="en-US"/>
        </w:rPr>
        <w:t>causative</w:t>
      </w:r>
      <w:r w:rsidRPr="00D22D4E">
        <w:rPr>
          <w:rFonts w:asciiTheme="majorBidi" w:eastAsiaTheme="minorHAnsi" w:hAnsiTheme="majorBidi" w:cstheme="majorBidi"/>
          <w:color w:val="000000" w:themeColor="text1"/>
          <w:lang w:val="en-GB" w:eastAsia="en-US"/>
        </w:rPr>
        <w:t xml:space="preserve"> </w:t>
      </w:r>
      <w:r w:rsidR="00A93B9C" w:rsidRPr="00D22D4E">
        <w:rPr>
          <w:rFonts w:asciiTheme="majorBidi" w:eastAsiaTheme="minorHAnsi" w:hAnsiTheme="majorBidi" w:cstheme="majorBidi"/>
          <w:color w:val="000000" w:themeColor="text1"/>
          <w:lang w:val="en-GB" w:eastAsia="en-US"/>
        </w:rPr>
        <w:t>elements</w:t>
      </w:r>
      <w:r w:rsidRPr="00D22D4E">
        <w:rPr>
          <w:rFonts w:asciiTheme="majorBidi" w:eastAsiaTheme="minorHAnsi" w:hAnsiTheme="majorBidi" w:cstheme="majorBidi"/>
          <w:color w:val="000000" w:themeColor="text1"/>
          <w:lang w:val="en-GB" w:eastAsia="en-US"/>
        </w:rPr>
        <w:t xml:space="preserve"> </w:t>
      </w:r>
      <w:r w:rsidR="00A93B9C" w:rsidRPr="00D22D4E">
        <w:rPr>
          <w:rFonts w:asciiTheme="majorBidi" w:eastAsiaTheme="minorHAnsi" w:hAnsiTheme="majorBidi" w:cstheme="majorBidi"/>
          <w:color w:val="000000" w:themeColor="text1"/>
          <w:lang w:val="en-GB" w:eastAsia="en-US"/>
        </w:rPr>
        <w:t>those direct</w:t>
      </w:r>
      <w:r w:rsidRPr="00D22D4E">
        <w:rPr>
          <w:rFonts w:asciiTheme="majorBidi" w:eastAsiaTheme="minorHAnsi" w:hAnsiTheme="majorBidi" w:cstheme="majorBidi"/>
          <w:color w:val="000000" w:themeColor="text1"/>
          <w:lang w:val="en-GB" w:eastAsia="en-US"/>
        </w:rPr>
        <w:t xml:space="preserve"> to unemployment </w:t>
      </w:r>
      <w:r w:rsidR="00A93B9C" w:rsidRPr="00D22D4E">
        <w:rPr>
          <w:rFonts w:asciiTheme="majorBidi" w:eastAsiaTheme="minorHAnsi" w:hAnsiTheme="majorBidi" w:cstheme="majorBidi"/>
          <w:color w:val="000000" w:themeColor="text1"/>
          <w:lang w:val="en-GB" w:eastAsia="en-US"/>
        </w:rPr>
        <w:t xml:space="preserve">in Indigenous Australians, </w:t>
      </w:r>
      <w:r w:rsidRPr="00D22D4E">
        <w:rPr>
          <w:rFonts w:asciiTheme="majorBidi" w:eastAsiaTheme="minorHAnsi" w:hAnsiTheme="majorBidi" w:cstheme="majorBidi"/>
          <w:color w:val="000000" w:themeColor="text1"/>
          <w:lang w:val="en-GB" w:eastAsia="en-US"/>
        </w:rPr>
        <w:t xml:space="preserve">are </w:t>
      </w:r>
      <w:r w:rsidR="00A93B9C" w:rsidRPr="00D22D4E">
        <w:rPr>
          <w:rFonts w:asciiTheme="majorBidi" w:eastAsiaTheme="minorHAnsi" w:hAnsiTheme="majorBidi" w:cstheme="majorBidi"/>
          <w:color w:val="000000" w:themeColor="text1"/>
          <w:lang w:val="en-GB" w:eastAsia="en-US"/>
        </w:rPr>
        <w:t xml:space="preserve">lack of proper education, and health. Restricted employment in remote areas restrict people to find and maintain a job. These issues are quite higher in Indigenous Australians as compared to Non-Indigenous Australians. </w:t>
      </w:r>
    </w:p>
    <w:p w14:paraId="498E9677" w14:textId="0B8E6E03" w:rsidR="009B7316" w:rsidRPr="000964A3" w:rsidRDefault="00A93B9C" w:rsidP="000964A3">
      <w:pPr>
        <w:autoSpaceDE w:val="0"/>
        <w:autoSpaceDN w:val="0"/>
        <w:adjustRightInd w:val="0"/>
        <w:jc w:val="both"/>
        <w:rPr>
          <w:rFonts w:asciiTheme="majorBidi" w:hAnsiTheme="majorBidi" w:cstheme="majorBidi"/>
          <w:color w:val="000000" w:themeColor="text1"/>
          <w:lang w:val="en-GB"/>
        </w:rPr>
      </w:pPr>
      <w:r w:rsidRPr="00D22D4E">
        <w:rPr>
          <w:rFonts w:asciiTheme="majorBidi" w:eastAsiaTheme="minorHAnsi" w:hAnsiTheme="majorBidi" w:cstheme="majorBidi"/>
          <w:color w:val="000000" w:themeColor="text1"/>
          <w:lang w:val="en-GB" w:eastAsia="en-US"/>
        </w:rPr>
        <w:t xml:space="preserve">To address </w:t>
      </w:r>
      <w:r w:rsidR="008B46A6" w:rsidRPr="00D22D4E">
        <w:rPr>
          <w:rFonts w:asciiTheme="majorBidi" w:eastAsiaTheme="minorHAnsi" w:hAnsiTheme="majorBidi" w:cstheme="majorBidi"/>
          <w:color w:val="000000" w:themeColor="text1"/>
          <w:lang w:val="en-GB" w:eastAsia="en-US"/>
        </w:rPr>
        <w:t>these</w:t>
      </w:r>
      <w:r w:rsidRPr="00D22D4E">
        <w:rPr>
          <w:rFonts w:asciiTheme="majorBidi" w:eastAsiaTheme="minorHAnsi" w:hAnsiTheme="majorBidi" w:cstheme="majorBidi"/>
          <w:color w:val="000000" w:themeColor="text1"/>
          <w:lang w:val="en-GB" w:eastAsia="en-US"/>
        </w:rPr>
        <w:t xml:space="preserve"> </w:t>
      </w:r>
      <w:r w:rsidR="00E2122B" w:rsidRPr="00D22D4E">
        <w:rPr>
          <w:rFonts w:asciiTheme="majorBidi" w:eastAsiaTheme="minorHAnsi" w:hAnsiTheme="majorBidi" w:cstheme="majorBidi"/>
          <w:color w:val="000000" w:themeColor="text1"/>
          <w:lang w:val="en-GB" w:eastAsia="en-US"/>
        </w:rPr>
        <w:t>issues</w:t>
      </w:r>
      <w:r w:rsidRPr="00D22D4E">
        <w:rPr>
          <w:rFonts w:asciiTheme="majorBidi" w:eastAsiaTheme="minorHAnsi" w:hAnsiTheme="majorBidi" w:cstheme="majorBidi"/>
          <w:color w:val="000000" w:themeColor="text1"/>
          <w:lang w:val="en-GB" w:eastAsia="en-US"/>
        </w:rPr>
        <w:t xml:space="preserve">, it is important </w:t>
      </w:r>
      <w:r w:rsidR="00E2122B" w:rsidRPr="00D22D4E">
        <w:rPr>
          <w:rFonts w:asciiTheme="majorBidi" w:eastAsiaTheme="minorHAnsi" w:hAnsiTheme="majorBidi" w:cstheme="majorBidi"/>
          <w:color w:val="000000" w:themeColor="text1"/>
          <w:lang w:val="en-GB" w:eastAsia="en-US"/>
        </w:rPr>
        <w:t>that unemployed Aboriginals and Torres Islanders get employment. Also, there should be a school to work transition, which will help in attaining educational objectives. The Australian Government should consider the agreement formulated</w:t>
      </w:r>
      <w:r w:rsidR="00AD31C6">
        <w:rPr>
          <w:rFonts w:asciiTheme="majorBidi" w:eastAsiaTheme="minorHAnsi" w:hAnsiTheme="majorBidi" w:cstheme="majorBidi"/>
          <w:color w:val="000000" w:themeColor="text1"/>
          <w:lang w:val="en-GB" w:eastAsia="en-US"/>
        </w:rPr>
        <w:t>,</w:t>
      </w:r>
      <w:r w:rsidR="00E2122B" w:rsidRPr="00D22D4E">
        <w:rPr>
          <w:rFonts w:asciiTheme="majorBidi" w:eastAsiaTheme="minorHAnsi" w:hAnsiTheme="majorBidi" w:cstheme="majorBidi"/>
          <w:color w:val="000000" w:themeColor="text1"/>
          <w:lang w:val="en-GB" w:eastAsia="en-US"/>
        </w:rPr>
        <w:t xml:space="preserve"> to solve the unemployment issues in Indigenous Australians. This agreement aims to provide innovative and effective resources to close the vast gap in the employment sector. Australian Government has </w:t>
      </w:r>
      <w:r w:rsidR="00D22D4E" w:rsidRPr="00D22D4E">
        <w:rPr>
          <w:rFonts w:asciiTheme="majorBidi" w:eastAsiaTheme="minorHAnsi" w:hAnsiTheme="majorBidi" w:cstheme="majorBidi"/>
          <w:color w:val="000000" w:themeColor="text1"/>
          <w:lang w:val="en-GB" w:eastAsia="en-US"/>
        </w:rPr>
        <w:t>financed,</w:t>
      </w:r>
      <w:r w:rsidR="00E2122B" w:rsidRPr="00D22D4E">
        <w:rPr>
          <w:rFonts w:asciiTheme="majorBidi" w:eastAsiaTheme="minorHAnsi" w:hAnsiTheme="majorBidi" w:cstheme="majorBidi"/>
          <w:color w:val="000000" w:themeColor="text1"/>
          <w:lang w:val="en-GB" w:eastAsia="en-US"/>
        </w:rPr>
        <w:t xml:space="preserve"> and supported jobs and </w:t>
      </w:r>
      <w:r w:rsidR="00D22D4E" w:rsidRPr="00D22D4E">
        <w:rPr>
          <w:rFonts w:asciiTheme="majorBidi" w:eastAsiaTheme="minorHAnsi" w:hAnsiTheme="majorBidi" w:cstheme="majorBidi"/>
          <w:color w:val="000000" w:themeColor="text1"/>
          <w:lang w:val="en-GB" w:eastAsia="en-US"/>
        </w:rPr>
        <w:t xml:space="preserve">property </w:t>
      </w:r>
      <w:r w:rsidR="00E2122B" w:rsidRPr="00D22D4E">
        <w:rPr>
          <w:rFonts w:asciiTheme="majorBidi" w:eastAsiaTheme="minorHAnsi" w:hAnsiTheme="majorBidi" w:cstheme="majorBidi"/>
          <w:color w:val="000000" w:themeColor="text1"/>
          <w:lang w:val="en-GB" w:eastAsia="en-US"/>
        </w:rPr>
        <w:t xml:space="preserve">plans through </w:t>
      </w:r>
      <w:r w:rsidR="00E2122B" w:rsidRPr="00D22D4E">
        <w:rPr>
          <w:rFonts w:asciiTheme="majorBidi" w:hAnsiTheme="majorBidi" w:cstheme="majorBidi"/>
          <w:color w:val="000000" w:themeColor="text1"/>
          <w:lang w:val="en-GB"/>
        </w:rPr>
        <w:t>Indigenous Advancement Program</w:t>
      </w:r>
      <w:r w:rsidR="00E2122B" w:rsidRPr="00D22D4E">
        <w:rPr>
          <w:rFonts w:asciiTheme="majorBidi" w:hAnsiTheme="majorBidi" w:cstheme="majorBidi"/>
          <w:color w:val="000000" w:themeColor="text1"/>
          <w:lang w:val="en-GB"/>
        </w:rPr>
        <w:t xml:space="preserve"> </w:t>
      </w:r>
      <w:r w:rsidR="00E2122B" w:rsidRPr="00D22D4E">
        <w:rPr>
          <w:rFonts w:asciiTheme="majorBidi" w:hAnsiTheme="majorBidi" w:cstheme="majorBidi"/>
          <w:color w:val="000000" w:themeColor="text1"/>
          <w:lang w:val="en-GB"/>
        </w:rPr>
        <w:t>(IAP)</w:t>
      </w:r>
      <w:r w:rsidR="00E2122B" w:rsidRPr="00D22D4E">
        <w:rPr>
          <w:rFonts w:asciiTheme="majorBidi" w:hAnsiTheme="majorBidi" w:cstheme="majorBidi"/>
          <w:color w:val="000000" w:themeColor="text1"/>
          <w:lang w:val="en-GB"/>
        </w:rPr>
        <w:t xml:space="preserve">. IAP supports Aboriginals and Torres Islanders, </w:t>
      </w:r>
      <w:r w:rsidR="00D22D4E" w:rsidRPr="00D22D4E">
        <w:rPr>
          <w:rFonts w:asciiTheme="majorBidi" w:hAnsiTheme="majorBidi" w:cstheme="majorBidi"/>
          <w:color w:val="000000" w:themeColor="text1"/>
          <w:lang w:val="en-GB"/>
        </w:rPr>
        <w:t xml:space="preserve">and </w:t>
      </w:r>
      <w:r w:rsidR="00AD31C6">
        <w:rPr>
          <w:rFonts w:asciiTheme="majorBidi" w:hAnsiTheme="majorBidi" w:cstheme="majorBidi"/>
          <w:color w:val="000000" w:themeColor="text1"/>
          <w:lang w:val="en-GB"/>
        </w:rPr>
        <w:t xml:space="preserve">the </w:t>
      </w:r>
      <w:r w:rsidR="00D22D4E" w:rsidRPr="00D22D4E">
        <w:rPr>
          <w:rFonts w:asciiTheme="majorBidi" w:hAnsiTheme="majorBidi" w:cstheme="majorBidi"/>
          <w:color w:val="000000" w:themeColor="text1"/>
          <w:lang w:val="en-GB"/>
        </w:rPr>
        <w:t xml:space="preserve">older population in the employment sector via good use of property </w:t>
      </w:r>
      <w:r w:rsidR="00D22D4E" w:rsidRPr="00D22D4E">
        <w:rPr>
          <w:rFonts w:asciiTheme="majorBidi" w:hAnsiTheme="majorBidi" w:cstheme="majorBidi"/>
          <w:color w:val="000000" w:themeColor="text1"/>
          <w:lang w:val="en-GB"/>
        </w:rPr>
        <w:fldChar w:fldCharType="begin" w:fldLock="1"/>
      </w:r>
      <w:r w:rsidR="004E1C6C">
        <w:rPr>
          <w:rFonts w:asciiTheme="majorBidi" w:hAnsiTheme="majorBidi" w:cstheme="majorBidi"/>
          <w:color w:val="000000" w:themeColor="text1"/>
          <w:lang w:val="en-GB"/>
        </w:rPr>
        <w:instrText>ADDIN CSL_CITATION {"citationItems":[{"id":"ITEM-1","itemData":{"ISSN":"2183-2803","author":[{"dropping-particle":"","family":"Walter","given":"Maggie","non-dropping-particle":"","parse-names":false,"suffix":""}],"container-title":"Social Inclusion","id":"ITEM-1","issue":"1","issued":{"date-parts":[["2016"]]},"page":"68-76","title":"Social exclusion/inclusion for urban Aboriginal and Torres Strait Islander people","type":"article-journal","volume":"4"},"uris":["http://www.mendeley.com/documents/?uuid=c4bf3851-a201-46ed-af44-babccafb8117"]}],"mendeley":{"formattedCitation":"(Walter, 2016)","plainTextFormattedCitation":"(Walter, 2016)","previouslyFormattedCitation":"(Walter, 2016)"},"properties":{"noteIndex":0},"schema":"https://github.com/citation-style-language/schema/raw/master/csl-citation.json"}</w:instrText>
      </w:r>
      <w:r w:rsidR="00D22D4E" w:rsidRPr="00D22D4E">
        <w:rPr>
          <w:rFonts w:asciiTheme="majorBidi" w:hAnsiTheme="majorBidi" w:cstheme="majorBidi"/>
          <w:color w:val="000000" w:themeColor="text1"/>
          <w:lang w:val="en-GB"/>
        </w:rPr>
        <w:fldChar w:fldCharType="separate"/>
      </w:r>
      <w:r w:rsidR="00D22D4E" w:rsidRPr="00D22D4E">
        <w:rPr>
          <w:rFonts w:asciiTheme="majorBidi" w:hAnsiTheme="majorBidi" w:cstheme="majorBidi"/>
          <w:noProof/>
          <w:color w:val="000000" w:themeColor="text1"/>
          <w:lang w:val="en-GB"/>
        </w:rPr>
        <w:t>(Walter, 2016)</w:t>
      </w:r>
      <w:r w:rsidR="00D22D4E" w:rsidRPr="00D22D4E">
        <w:rPr>
          <w:rFonts w:asciiTheme="majorBidi" w:hAnsiTheme="majorBidi" w:cstheme="majorBidi"/>
          <w:color w:val="000000" w:themeColor="text1"/>
          <w:lang w:val="en-GB"/>
        </w:rPr>
        <w:fldChar w:fldCharType="end"/>
      </w:r>
      <w:r w:rsidR="00D22D4E" w:rsidRPr="00D22D4E">
        <w:rPr>
          <w:rFonts w:asciiTheme="majorBidi" w:hAnsiTheme="majorBidi" w:cstheme="majorBidi"/>
          <w:color w:val="000000" w:themeColor="text1"/>
          <w:lang w:val="en-GB"/>
        </w:rPr>
        <w:t>.</w:t>
      </w:r>
    </w:p>
    <w:p w14:paraId="344BE08B" w14:textId="03481466" w:rsidR="000964A3" w:rsidRPr="000D2EEF" w:rsidRDefault="00FA76EC" w:rsidP="000964A3">
      <w:pPr>
        <w:pStyle w:val="ListParagraph"/>
        <w:numPr>
          <w:ilvl w:val="0"/>
          <w:numId w:val="1"/>
        </w:numPr>
        <w:autoSpaceDE w:val="0"/>
        <w:autoSpaceDN w:val="0"/>
        <w:adjustRightInd w:val="0"/>
        <w:jc w:val="both"/>
        <w:rPr>
          <w:b/>
          <w:bCs/>
          <w:lang w:val="en-GB"/>
        </w:rPr>
      </w:pPr>
      <w:r w:rsidRPr="000D2EEF">
        <w:rPr>
          <w:b/>
          <w:bCs/>
          <w:lang w:val="en-GB"/>
        </w:rPr>
        <w:t>Housing</w:t>
      </w:r>
    </w:p>
    <w:p w14:paraId="7112DACF" w14:textId="15D07047" w:rsidR="000964A3" w:rsidRDefault="00AD31C6" w:rsidP="00B26A08">
      <w:pPr>
        <w:autoSpaceDE w:val="0"/>
        <w:autoSpaceDN w:val="0"/>
        <w:adjustRightInd w:val="0"/>
        <w:jc w:val="both"/>
        <w:rPr>
          <w:rFonts w:eastAsiaTheme="minorHAnsi"/>
          <w:lang w:val="en-GB"/>
        </w:rPr>
      </w:pPr>
      <w:r>
        <w:rPr>
          <w:rFonts w:eastAsiaTheme="minorHAnsi"/>
          <w:lang w:val="en-GB"/>
        </w:rPr>
        <w:t>The h</w:t>
      </w:r>
      <w:r w:rsidR="000964A3">
        <w:rPr>
          <w:rFonts w:eastAsiaTheme="minorHAnsi"/>
          <w:lang w:val="en-GB"/>
        </w:rPr>
        <w:t xml:space="preserve">ousing plays a crucial role in the health and wellbeing of a person. Factors associated </w:t>
      </w:r>
      <w:r>
        <w:rPr>
          <w:rFonts w:eastAsiaTheme="minorHAnsi"/>
          <w:lang w:val="en-GB"/>
        </w:rPr>
        <w:t xml:space="preserve">with </w:t>
      </w:r>
      <w:r w:rsidR="000964A3">
        <w:rPr>
          <w:rFonts w:eastAsiaTheme="minorHAnsi"/>
          <w:lang w:val="en-GB"/>
        </w:rPr>
        <w:t xml:space="preserve">housing including </w:t>
      </w:r>
      <w:r w:rsidR="00A67573">
        <w:rPr>
          <w:rFonts w:eastAsiaTheme="minorHAnsi"/>
          <w:lang w:val="en-GB"/>
        </w:rPr>
        <w:t>overpopulation</w:t>
      </w:r>
      <w:r w:rsidR="000964A3">
        <w:rPr>
          <w:rFonts w:eastAsiaTheme="minorHAnsi"/>
          <w:lang w:val="en-GB"/>
        </w:rPr>
        <w:t xml:space="preserve">, </w:t>
      </w:r>
      <w:r w:rsidR="00A67573">
        <w:rPr>
          <w:rFonts w:eastAsiaTheme="minorHAnsi"/>
          <w:lang w:val="en-GB"/>
        </w:rPr>
        <w:t xml:space="preserve">tenancy, and homelessness also have negative impact on the health and safety of a person. One of the primary purposes of housing is the accommodation or security. Lack of affordable, secure, and suitable housing lead to put a detrimental effect on the mental and physical health of the Aboriginals and Torres Islanders. </w:t>
      </w:r>
      <w:r>
        <w:rPr>
          <w:rFonts w:eastAsiaTheme="minorHAnsi"/>
          <w:lang w:val="en-GB"/>
        </w:rPr>
        <w:t>The l</w:t>
      </w:r>
      <w:r w:rsidR="00A67573">
        <w:rPr>
          <w:rFonts w:eastAsiaTheme="minorHAnsi"/>
          <w:lang w:val="en-GB"/>
        </w:rPr>
        <w:t xml:space="preserve">ow rate of employment, education, and poor health are also associated </w:t>
      </w:r>
      <w:r>
        <w:rPr>
          <w:rFonts w:eastAsiaTheme="minorHAnsi"/>
          <w:lang w:val="en-GB"/>
        </w:rPr>
        <w:t>with</w:t>
      </w:r>
      <w:r w:rsidR="00A67573">
        <w:rPr>
          <w:rFonts w:eastAsiaTheme="minorHAnsi"/>
          <w:lang w:val="en-GB"/>
        </w:rPr>
        <w:t xml:space="preserve"> poor housing</w:t>
      </w:r>
      <w:r w:rsidR="004E1C6C">
        <w:rPr>
          <w:rFonts w:eastAsiaTheme="minorHAnsi"/>
          <w:lang w:val="en-GB"/>
        </w:rPr>
        <w:t xml:space="preserve"> </w:t>
      </w:r>
      <w:r w:rsidR="004E1C6C">
        <w:rPr>
          <w:rFonts w:eastAsiaTheme="minorHAnsi"/>
          <w:lang w:val="en-GB"/>
        </w:rPr>
        <w:fldChar w:fldCharType="begin" w:fldLock="1"/>
      </w:r>
      <w:r w:rsidR="004E1C6C">
        <w:rPr>
          <w:rFonts w:eastAsiaTheme="minorHAnsi"/>
          <w:lang w:val="en-GB"/>
        </w:rPr>
        <w:instrText>ADDIN CSL_CITATION {"citationItems":[{"id":"ITEM-1","itemData":{"author":[{"dropping-particle":"","family":"Welfare","given":"Australian Institute of Health and","non-dropping-particle":"","parse-names":false,"suffix":""}],"id":"ITEM-1","issued":{"date-parts":[["2014"]]},"publisher":"Canberra","title":"Housing circumstances of Indigenous households: Tenure and overcrowding","type":"book"},"uris":["http://www.mendeley.com/documents/?uuid=3a8318c0-455b-43cb-85a7-96e910ec677e"]}],"mendeley":{"formattedCitation":"(Welfare, 2014)","plainTextFormattedCitation":"(Welfare, 2014)","previouslyFormattedCitation":"(Welfare, 2014)"},"properties":{"noteIndex":0},"schema":"https://github.com/citation-style-language/schema/raw/master/csl-citation.json"}</w:instrText>
      </w:r>
      <w:r w:rsidR="004E1C6C">
        <w:rPr>
          <w:rFonts w:eastAsiaTheme="minorHAnsi"/>
          <w:lang w:val="en-GB"/>
        </w:rPr>
        <w:fldChar w:fldCharType="separate"/>
      </w:r>
      <w:r w:rsidR="004E1C6C" w:rsidRPr="004E1C6C">
        <w:rPr>
          <w:rFonts w:eastAsiaTheme="minorHAnsi"/>
          <w:noProof/>
          <w:lang w:val="en-GB"/>
        </w:rPr>
        <w:t>(Welfare, 2014)</w:t>
      </w:r>
      <w:r w:rsidR="004E1C6C">
        <w:rPr>
          <w:rFonts w:eastAsiaTheme="minorHAnsi"/>
          <w:lang w:val="en-GB"/>
        </w:rPr>
        <w:fldChar w:fldCharType="end"/>
      </w:r>
      <w:r w:rsidR="004E1C6C">
        <w:rPr>
          <w:rFonts w:eastAsiaTheme="minorHAnsi"/>
          <w:lang w:val="en-GB"/>
        </w:rPr>
        <w:t xml:space="preserve">. In Indigenous communities of Australia, housing is inadequate for the people and there is a great bond present between housing and mental health </w:t>
      </w:r>
      <w:r w:rsidR="004E1C6C">
        <w:rPr>
          <w:rFonts w:eastAsiaTheme="minorHAnsi"/>
          <w:lang w:val="en-GB"/>
        </w:rPr>
        <w:fldChar w:fldCharType="begin" w:fldLock="1"/>
      </w:r>
      <w:r w:rsidR="00ED5805">
        <w:rPr>
          <w:rFonts w:eastAsiaTheme="minorHAnsi"/>
          <w:lang w:val="en-GB"/>
        </w:rPr>
        <w:instrText>ADDIN CSL_CITATION {"citationItems":[{"id":"ITEM-1","itemData":{"ISSN":"1471-2458","author":[{"dropping-particle":"","family":"Lowell","given":"Anne","non-dropping-particle":"","parse-names":false,"suffix":""},{"dropping-particle":"","family":"Maypilama","given":"Ḻäwurrpa","non-dropping-particle":"","parse-names":false,"suffix":""},{"dropping-particle":"","family":"Fasoli","given":"Lyn","non-dropping-particle":"","parse-names":false,"suffix":""},{"dropping-particle":"","family":"Guyula","given":"Yalŋarra","non-dropping-particle":"","parse-names":false,"suffix":""},{"dropping-particle":"","family":"Guyula","given":"Abbey","non-dropping-particle":"","parse-names":false,"suffix":""},{"dropping-particle":"","family":"Yunupiŋu","given":"Megan","non-dropping-particle":"","parse-names":false,"suffix":""},{"dropping-particle":"","family":"Godwin-Thompson","given":"Jenine","non-dropping-particle":"","parse-names":false,"suffix":""},{"dropping-particle":"","family":"Gundjarranbuy","given":"Rosemary","non-dropping-particle":"","parse-names":false,"suffix":""},{"dropping-particle":"","family":"Armstrong","given":"Emily","non-dropping-particle":"","parse-names":false,"suffix":""},{"dropping-particle":"","family":"Garrutju","given":"Jane","non-dropping-particle":"","parse-names":false,"suffix":""}],"container-title":"BMC public health","id":"ITEM-1","issue":"1","issued":{"date-parts":[["2018"]]},"page":"1-14","publisher":"BioMed Central","title":"The ‘invisible homeless’–challenges faced by families bringing up their children in a remote Australian Aboriginal community","type":"article-journal","volume":"18"},"uris":["http://www.mendeley.com/documents/?uuid=d84f14e0-570a-4533-bed5-4f0c550ebe6e"]}],"mendeley":{"formattedCitation":"(Lowell &lt;i&gt;et al.&lt;/i&gt;, 2018)","plainTextFormattedCitation":"(Lowell et al., 2018)","previouslyFormattedCitation":"(Lowell &lt;i&gt;et al.&lt;/i&gt;, 2018)"},"properties":{"noteIndex":0},"schema":"https://github.com/citation-style-language/schema/raw/master/csl-citation.json"}</w:instrText>
      </w:r>
      <w:r w:rsidR="004E1C6C">
        <w:rPr>
          <w:rFonts w:eastAsiaTheme="minorHAnsi"/>
          <w:lang w:val="en-GB"/>
        </w:rPr>
        <w:fldChar w:fldCharType="separate"/>
      </w:r>
      <w:r w:rsidR="004E1C6C" w:rsidRPr="004E1C6C">
        <w:rPr>
          <w:rFonts w:eastAsiaTheme="minorHAnsi"/>
          <w:noProof/>
          <w:lang w:val="en-GB"/>
        </w:rPr>
        <w:t xml:space="preserve">(Lowell </w:t>
      </w:r>
      <w:r w:rsidR="004E1C6C" w:rsidRPr="004E1C6C">
        <w:rPr>
          <w:rFonts w:eastAsiaTheme="minorHAnsi"/>
          <w:i/>
          <w:noProof/>
          <w:lang w:val="en-GB"/>
        </w:rPr>
        <w:t>et al.</w:t>
      </w:r>
      <w:r w:rsidR="004E1C6C" w:rsidRPr="004E1C6C">
        <w:rPr>
          <w:rFonts w:eastAsiaTheme="minorHAnsi"/>
          <w:noProof/>
          <w:lang w:val="en-GB"/>
        </w:rPr>
        <w:t>, 2018)</w:t>
      </w:r>
      <w:r w:rsidR="004E1C6C">
        <w:rPr>
          <w:rFonts w:eastAsiaTheme="minorHAnsi"/>
          <w:lang w:val="en-GB"/>
        </w:rPr>
        <w:fldChar w:fldCharType="end"/>
      </w:r>
      <w:r w:rsidR="004E1C6C">
        <w:rPr>
          <w:rFonts w:eastAsiaTheme="minorHAnsi"/>
          <w:lang w:val="en-GB"/>
        </w:rPr>
        <w:t xml:space="preserve">. Associated factors of housing become the cause of various diseases such as skin diseases, respiratory </w:t>
      </w:r>
      <w:r w:rsidR="00ED5805">
        <w:rPr>
          <w:rFonts w:eastAsiaTheme="minorHAnsi"/>
          <w:lang w:val="en-GB"/>
        </w:rPr>
        <w:t>ailment, mental</w:t>
      </w:r>
      <w:r w:rsidR="004E1C6C">
        <w:rPr>
          <w:rFonts w:eastAsiaTheme="minorHAnsi"/>
          <w:lang w:val="en-GB"/>
        </w:rPr>
        <w:t xml:space="preserve"> disorders, </w:t>
      </w:r>
      <w:r w:rsidR="00ED5805">
        <w:rPr>
          <w:rFonts w:eastAsiaTheme="minorHAnsi"/>
          <w:lang w:val="en-GB"/>
        </w:rPr>
        <w:t xml:space="preserve">cardiovascular disorders, </w:t>
      </w:r>
      <w:r w:rsidR="004E1C6C">
        <w:rPr>
          <w:rFonts w:eastAsiaTheme="minorHAnsi"/>
          <w:lang w:val="en-GB"/>
        </w:rPr>
        <w:t>and rhematic fever</w:t>
      </w:r>
      <w:r>
        <w:rPr>
          <w:rFonts w:eastAsiaTheme="minorHAnsi"/>
          <w:lang w:val="en-GB"/>
        </w:rPr>
        <w:t>,</w:t>
      </w:r>
      <w:r w:rsidR="004E1C6C">
        <w:rPr>
          <w:rFonts w:eastAsiaTheme="minorHAnsi"/>
          <w:lang w:val="en-GB"/>
        </w:rPr>
        <w:t xml:space="preserve"> etc. Housing issues arise along with other living factors such as </w:t>
      </w:r>
      <w:r>
        <w:rPr>
          <w:rFonts w:eastAsiaTheme="minorHAnsi"/>
          <w:lang w:val="en-GB"/>
        </w:rPr>
        <w:t xml:space="preserve">the </w:t>
      </w:r>
      <w:r w:rsidR="004E1C6C">
        <w:rPr>
          <w:rFonts w:eastAsiaTheme="minorHAnsi"/>
          <w:lang w:val="en-GB"/>
        </w:rPr>
        <w:t xml:space="preserve">quality of water, and poor personal hygiene. They lead to cause various diseases and stress issues in Aboriginals. Also, </w:t>
      </w:r>
      <w:r w:rsidR="00ED5805">
        <w:rPr>
          <w:rFonts w:eastAsiaTheme="minorHAnsi"/>
          <w:lang w:val="en-GB"/>
        </w:rPr>
        <w:lastRenderedPageBreak/>
        <w:t>overly populated, or poor housing does not offer a conductive learning setting to the Aboriginals and Torres Islanders</w:t>
      </w:r>
      <w:r w:rsidR="00B55D0F">
        <w:rPr>
          <w:rFonts w:eastAsiaTheme="minorHAnsi"/>
          <w:lang w:val="en-GB"/>
        </w:rPr>
        <w:t xml:space="preserve">. </w:t>
      </w:r>
      <w:r w:rsidR="008F3AF8">
        <w:rPr>
          <w:rFonts w:eastAsiaTheme="minorHAnsi"/>
          <w:lang w:val="en-GB"/>
        </w:rPr>
        <w:t>In 2012, a</w:t>
      </w:r>
      <w:r w:rsidR="00B55D0F">
        <w:rPr>
          <w:rFonts w:eastAsiaTheme="minorHAnsi"/>
          <w:lang w:val="en-GB"/>
        </w:rPr>
        <w:t xml:space="preserve">round 115,600 Indigenous Australians </w:t>
      </w:r>
      <w:r w:rsidR="008F3AF8">
        <w:rPr>
          <w:rFonts w:eastAsiaTheme="minorHAnsi"/>
          <w:lang w:val="en-GB"/>
        </w:rPr>
        <w:t xml:space="preserve">were </w:t>
      </w:r>
      <w:r w:rsidR="00B55D0F">
        <w:rPr>
          <w:rFonts w:eastAsiaTheme="minorHAnsi"/>
          <w:lang w:val="en-GB"/>
        </w:rPr>
        <w:t>liv</w:t>
      </w:r>
      <w:r w:rsidR="008F3AF8">
        <w:rPr>
          <w:rFonts w:eastAsiaTheme="minorHAnsi"/>
          <w:lang w:val="en-GB"/>
        </w:rPr>
        <w:t xml:space="preserve">ing </w:t>
      </w:r>
      <w:r w:rsidR="00B55D0F">
        <w:rPr>
          <w:rFonts w:eastAsiaTheme="minorHAnsi"/>
          <w:lang w:val="en-GB"/>
        </w:rPr>
        <w:t>in overpopulated houses</w:t>
      </w:r>
      <w:r w:rsidR="00B36552">
        <w:rPr>
          <w:rFonts w:eastAsiaTheme="minorHAnsi"/>
          <w:lang w:val="en-GB"/>
        </w:rPr>
        <w:t xml:space="preserve"> which w</w:t>
      </w:r>
      <w:r w:rsidR="008F3AF8">
        <w:rPr>
          <w:rFonts w:eastAsiaTheme="minorHAnsi"/>
          <w:lang w:val="en-GB"/>
        </w:rPr>
        <w:t xml:space="preserve">as about 21%. On the contrary, only 5% of the Non-Indigenous population was living in the same conditions </w:t>
      </w:r>
      <w:r w:rsidR="00ED5805">
        <w:rPr>
          <w:rFonts w:eastAsiaTheme="minorHAnsi"/>
          <w:lang w:val="en-GB"/>
        </w:rPr>
        <w:fldChar w:fldCharType="begin" w:fldLock="1"/>
      </w:r>
      <w:r w:rsidR="00B36552">
        <w:rPr>
          <w:rFonts w:eastAsiaTheme="minorHAnsi"/>
          <w:lang w:val="en-GB"/>
        </w:rPr>
        <w:instrText>ADDIN CSL_CITATION {"citationItems":[{"id":"ITEM-1","itemData":{"author":[{"dropping-particle":"","family":"Welfare","given":"Australian Institute of Health and","non-dropping-particle":"","parse-names":false,"suffix":""}],"id":"ITEM-1","issued":{"date-parts":[["2014"]]},"publisher":"Canberra","title":"Housing circumstances of Indigenous households: Tenure and overcrowding","type":"book"},"uris":["http://www.mendeley.com/documents/?uuid=3a8318c0-455b-43cb-85a7-96e910ec677e"]}],"mendeley":{"formattedCitation":"(Welfare, 2014)","plainTextFormattedCitation":"(Welfare, 2014)","previouslyFormattedCitation":"(Welfare, 2014)"},"properties":{"noteIndex":0},"schema":"https://github.com/citation-style-language/schema/raw/master/csl-citation.json"}</w:instrText>
      </w:r>
      <w:r w:rsidR="00ED5805">
        <w:rPr>
          <w:rFonts w:eastAsiaTheme="minorHAnsi"/>
          <w:lang w:val="en-GB"/>
        </w:rPr>
        <w:fldChar w:fldCharType="separate"/>
      </w:r>
      <w:r w:rsidR="00ED5805" w:rsidRPr="00ED5805">
        <w:rPr>
          <w:rFonts w:eastAsiaTheme="minorHAnsi"/>
          <w:noProof/>
          <w:lang w:val="en-GB"/>
        </w:rPr>
        <w:t>(Welfare, 2014)</w:t>
      </w:r>
      <w:r w:rsidR="00ED5805">
        <w:rPr>
          <w:rFonts w:eastAsiaTheme="minorHAnsi"/>
          <w:lang w:val="en-GB"/>
        </w:rPr>
        <w:fldChar w:fldCharType="end"/>
      </w:r>
      <w:r w:rsidR="00ED5805">
        <w:rPr>
          <w:rFonts w:eastAsiaTheme="minorHAnsi"/>
          <w:lang w:val="en-GB"/>
        </w:rPr>
        <w:t>.</w:t>
      </w:r>
      <w:r w:rsidR="00B36552">
        <w:rPr>
          <w:rFonts w:eastAsiaTheme="minorHAnsi"/>
          <w:lang w:val="en-GB"/>
        </w:rPr>
        <w:t xml:space="preserve"> Illness spread due to confined place with many people, sharing </w:t>
      </w:r>
      <w:r>
        <w:rPr>
          <w:rFonts w:eastAsiaTheme="minorHAnsi"/>
          <w:lang w:val="en-GB"/>
        </w:rPr>
        <w:t xml:space="preserve">the </w:t>
      </w:r>
      <w:r w:rsidR="00B36552">
        <w:rPr>
          <w:rFonts w:eastAsiaTheme="minorHAnsi"/>
          <w:lang w:val="en-GB"/>
        </w:rPr>
        <w:t xml:space="preserve">same washroom and </w:t>
      </w:r>
      <w:r>
        <w:rPr>
          <w:rFonts w:eastAsiaTheme="minorHAnsi"/>
          <w:lang w:val="en-GB"/>
        </w:rPr>
        <w:t xml:space="preserve">the </w:t>
      </w:r>
      <w:r w:rsidR="00B36552">
        <w:rPr>
          <w:rFonts w:eastAsiaTheme="minorHAnsi"/>
          <w:lang w:val="en-GB"/>
        </w:rPr>
        <w:t xml:space="preserve">kitchen are also shortcomings of overcrowding in Aboriginal communities. Also, interrupted and inadequate sleep in children and adults affect their performance in schools and workplaces respectively </w:t>
      </w:r>
      <w:r w:rsidR="00B36552">
        <w:rPr>
          <w:rFonts w:eastAsiaTheme="minorHAnsi"/>
          <w:lang w:val="en-GB"/>
        </w:rPr>
        <w:fldChar w:fldCharType="begin" w:fldLock="1"/>
      </w:r>
      <w:r w:rsidR="00B36552">
        <w:rPr>
          <w:rFonts w:eastAsiaTheme="minorHAnsi"/>
          <w:lang w:val="en-GB"/>
        </w:rPr>
        <w:instrText>ADDIN CSL_CITATION {"citationItems":[{"id":"ITEM-1","itemData":{"ISSN":"1471-2458","author":[{"dropping-particle":"","family":"Lowell","given":"Anne","non-dropping-particle":"","parse-names":false,"suffix":""},{"dropping-particle":"","family":"Maypilama","given":"Ḻäwurrpa","non-dropping-particle":"","parse-names":false,"suffix":""},{"dropping-particle":"","family":"Fasoli","given":"Lyn","non-dropping-particle":"","parse-names":false,"suffix":""},{"dropping-particle":"","family":"Guyula","given":"Yalŋarra","non-dropping-particle":"","parse-names":false,"suffix":""},{"dropping-particle":"","family":"Guyula","given":"Abbey","non-dropping-particle":"","parse-names":false,"suffix":""},{"dropping-particle":"","family":"Yunupiŋu","given":"Megan","non-dropping-particle":"","parse-names":false,"suffix":""},{"dropping-particle":"","family":"Godwin-Thompson","given":"Jenine","non-dropping-particle":"","parse-names":false,"suffix":""},{"dropping-particle":"","family":"Gundjarranbuy","given":"Rosemary","non-dropping-particle":"","parse-names":false,"suffix":""},{"dropping-particle":"","family":"Armstrong","given":"Emily","non-dropping-particle":"","parse-names":false,"suffix":""},{"dropping-particle":"","family":"Garrutju","given":"Jane","non-dropping-particle":"","parse-names":false,"suffix":""}],"container-title":"BMC public health","id":"ITEM-1","issue":"1","issued":{"date-parts":[["2018"]]},"page":"1-14","publisher":"BioMed Central","title":"The ‘invisible homeless’–challenges faced by families bringing up their children in a remote Australian Aboriginal community","type":"article-journal","volume":"18"},"uris":["http://www.mendeley.com/documents/?uuid=d84f14e0-570a-4533-bed5-4f0c550ebe6e"]}],"mendeley":{"formattedCitation":"(Lowell &lt;i&gt;et al.&lt;/i&gt;, 2018)","plainTextFormattedCitation":"(Lowell et al., 2018)","previouslyFormattedCitation":"(Lowell &lt;i&gt;et al.&lt;/i&gt;, 2018)"},"properties":{"noteIndex":0},"schema":"https://github.com/citation-style-language/schema/raw/master/csl-citation.json"}</w:instrText>
      </w:r>
      <w:r w:rsidR="00B36552">
        <w:rPr>
          <w:rFonts w:eastAsiaTheme="minorHAnsi"/>
          <w:lang w:val="en-GB"/>
        </w:rPr>
        <w:fldChar w:fldCharType="separate"/>
      </w:r>
      <w:r w:rsidR="00B36552" w:rsidRPr="00B36552">
        <w:rPr>
          <w:rFonts w:eastAsiaTheme="minorHAnsi"/>
          <w:noProof/>
          <w:lang w:val="en-GB"/>
        </w:rPr>
        <w:t xml:space="preserve">(Lowell </w:t>
      </w:r>
      <w:r w:rsidR="00B36552" w:rsidRPr="00B36552">
        <w:rPr>
          <w:rFonts w:eastAsiaTheme="minorHAnsi"/>
          <w:i/>
          <w:noProof/>
          <w:lang w:val="en-GB"/>
        </w:rPr>
        <w:t>et al.</w:t>
      </w:r>
      <w:r w:rsidR="00B36552" w:rsidRPr="00B36552">
        <w:rPr>
          <w:rFonts w:eastAsiaTheme="minorHAnsi"/>
          <w:noProof/>
          <w:lang w:val="en-GB"/>
        </w:rPr>
        <w:t>, 2018)</w:t>
      </w:r>
      <w:r w:rsidR="00B36552">
        <w:rPr>
          <w:rFonts w:eastAsiaTheme="minorHAnsi"/>
          <w:lang w:val="en-GB"/>
        </w:rPr>
        <w:fldChar w:fldCharType="end"/>
      </w:r>
      <w:r w:rsidR="00B36552">
        <w:rPr>
          <w:rFonts w:eastAsiaTheme="minorHAnsi"/>
          <w:lang w:val="en-GB"/>
        </w:rPr>
        <w:t>.</w:t>
      </w:r>
    </w:p>
    <w:p w14:paraId="301F8082" w14:textId="24AEA5A6" w:rsidR="00A67573" w:rsidRDefault="00ED5805" w:rsidP="00B26A08">
      <w:pPr>
        <w:jc w:val="both"/>
        <w:rPr>
          <w:rFonts w:eastAsiaTheme="minorHAnsi"/>
          <w:lang w:val="en-GB"/>
        </w:rPr>
      </w:pPr>
      <w:r>
        <w:rPr>
          <w:rFonts w:eastAsiaTheme="minorHAnsi"/>
          <w:lang w:val="en-GB"/>
        </w:rPr>
        <w:t xml:space="preserve">Indigenous Australians are homeless mostly and used to live in rented houses, thus directing to high living rates. </w:t>
      </w:r>
      <w:r w:rsidR="0082203E">
        <w:rPr>
          <w:rFonts w:eastAsiaTheme="minorHAnsi"/>
          <w:lang w:val="en-GB"/>
        </w:rPr>
        <w:t xml:space="preserve">Census data indicates that housing renting in </w:t>
      </w:r>
      <w:r w:rsidR="00862F7A">
        <w:rPr>
          <w:rFonts w:eastAsiaTheme="minorHAnsi"/>
          <w:lang w:val="en-GB"/>
        </w:rPr>
        <w:t>Indigenous</w:t>
      </w:r>
      <w:r w:rsidR="0082203E">
        <w:rPr>
          <w:rFonts w:eastAsiaTheme="minorHAnsi"/>
          <w:lang w:val="en-GB"/>
        </w:rPr>
        <w:t xml:space="preserve"> Australians increased from 27%-32% over the decade (2006-2016)</w:t>
      </w:r>
      <w:r w:rsidR="00862F7A">
        <w:rPr>
          <w:rFonts w:eastAsiaTheme="minorHAnsi"/>
          <w:lang w:val="en-GB"/>
        </w:rPr>
        <w:t xml:space="preserve"> </w:t>
      </w:r>
      <w:r w:rsidR="00862F7A" w:rsidRPr="00862F7A">
        <w:rPr>
          <w:rFonts w:asciiTheme="majorBidi" w:hAnsiTheme="majorBidi" w:cstheme="majorBidi"/>
          <w:color w:val="000000" w:themeColor="text1"/>
          <w:shd w:val="clear" w:color="auto" w:fill="FFFFFF"/>
        </w:rPr>
        <w:t>(</w:t>
      </w:r>
      <w:r w:rsidR="00862F7A" w:rsidRPr="00862F7A">
        <w:rPr>
          <w:rFonts w:asciiTheme="majorBidi" w:hAnsiTheme="majorBidi" w:cstheme="majorBidi"/>
          <w:color w:val="000000"/>
          <w:shd w:val="clear" w:color="auto" w:fill="FFFFFF"/>
        </w:rPr>
        <w:t>Australian Government|Australian Institute of Health and Welfare</w:t>
      </w:r>
      <w:r w:rsidR="00862F7A" w:rsidRPr="00862F7A">
        <w:rPr>
          <w:rFonts w:asciiTheme="majorBidi" w:hAnsiTheme="majorBidi" w:cstheme="majorBidi"/>
          <w:color w:val="000000"/>
          <w:shd w:val="clear" w:color="auto" w:fill="FFFFFF"/>
          <w:lang w:val="en-US"/>
        </w:rPr>
        <w:t>, 2019</w:t>
      </w:r>
      <w:r w:rsidR="003E1942">
        <w:rPr>
          <w:rFonts w:asciiTheme="majorBidi" w:hAnsiTheme="majorBidi" w:cstheme="majorBidi"/>
          <w:color w:val="000000"/>
          <w:shd w:val="clear" w:color="auto" w:fill="FFFFFF"/>
          <w:lang w:val="en-US"/>
        </w:rPr>
        <w:t>b</w:t>
      </w:r>
      <w:r w:rsidR="00862F7A" w:rsidRPr="00862F7A">
        <w:rPr>
          <w:rFonts w:asciiTheme="majorBidi" w:hAnsiTheme="majorBidi" w:cstheme="majorBidi"/>
          <w:color w:val="000000" w:themeColor="text1"/>
          <w:shd w:val="clear" w:color="auto" w:fill="FFFFFF"/>
        </w:rPr>
        <w:t>)</w:t>
      </w:r>
      <w:r w:rsidR="00862F7A" w:rsidRPr="00862F7A">
        <w:rPr>
          <w:rFonts w:asciiTheme="majorBidi" w:hAnsiTheme="majorBidi" w:cstheme="majorBidi"/>
          <w:lang w:val="en-US"/>
        </w:rPr>
        <w:t xml:space="preserve">. </w:t>
      </w:r>
      <w:r w:rsidR="00B55D0F" w:rsidRPr="00862F7A">
        <w:rPr>
          <w:rFonts w:asciiTheme="majorBidi" w:eastAsiaTheme="minorHAnsi" w:hAnsiTheme="majorBidi" w:cstheme="majorBidi"/>
          <w:lang w:val="en-GB"/>
        </w:rPr>
        <w:t>Another form of living in Indigenous Australia is the housing tenure, which is associated with various health related</w:t>
      </w:r>
      <w:r w:rsidR="00B55D0F">
        <w:rPr>
          <w:rFonts w:eastAsiaTheme="minorHAnsi"/>
          <w:lang w:val="en-GB"/>
        </w:rPr>
        <w:t xml:space="preserve"> complication and even fatalities.</w:t>
      </w:r>
      <w:r w:rsidR="00B36552">
        <w:rPr>
          <w:rFonts w:eastAsiaTheme="minorHAnsi"/>
          <w:lang w:val="en-GB"/>
        </w:rPr>
        <w:t xml:space="preserve"> According to the national census data, housing residence has hardly changed in past years in Indigenous communities, hence causing constant stress, and diseases. In 2011, housing tenancy was 5.3% and after five years, it was just 5.4% </w:t>
      </w:r>
      <w:r w:rsidR="00B36552">
        <w:rPr>
          <w:rFonts w:eastAsiaTheme="minorHAnsi"/>
          <w:lang w:val="en-GB"/>
        </w:rPr>
        <w:fldChar w:fldCharType="begin" w:fldLock="1"/>
      </w:r>
      <w:r w:rsidR="00CC5B5E">
        <w:rPr>
          <w:rFonts w:eastAsiaTheme="minorHAnsi"/>
          <w:lang w:val="en-GB"/>
        </w:rPr>
        <w:instrText>ADDIN CSL_CITATION {"citationItems":[{"id":"ITEM-1","itemData":{"ISSN":"1471-2458","author":[{"dropping-particle":"","family":"Lowell","given":"Anne","non-dropping-particle":"","parse-names":false,"suffix":""},{"dropping-particle":"","family":"Maypilama","given":"Ḻäwurrpa","non-dropping-particle":"","parse-names":false,"suffix":""},{"dropping-particle":"","family":"Fasoli","given":"Lyn","non-dropping-particle":"","parse-names":false,"suffix":""},{"dropping-particle":"","family":"Guyula","given":"Yalŋarra","non-dropping-particle":"","parse-names":false,"suffix":""},{"dropping-particle":"","family":"Guyula","given":"Abbey","non-dropping-particle":"","parse-names":false,"suffix":""},{"dropping-particle":"","family":"Yunupiŋu","given":"Megan","non-dropping-particle":"","parse-names":false,"suffix":""},{"dropping-particle":"","family":"Godwin-Thompson","given":"Jenine","non-dropping-particle":"","parse-names":false,"suffix":""},{"dropping-particle":"","family":"Gundjarranbuy","given":"Rosemary","non-dropping-particle":"","parse-names":false,"suffix":""},{"dropping-particle":"","family":"Armstrong","given":"Emily","non-dropping-particle":"","parse-names":false,"suffix":""},{"dropping-particle":"","family":"Garrutju","given":"Jane","non-dropping-particle":"","parse-names":false,"suffix":""}],"container-title":"BMC public health","id":"ITEM-1","issue":"1","issued":{"date-parts":[["2018"]]},"page":"1-14","publisher":"BioMed Central","title":"The ‘invisible homeless’–challenges faced by families bringing up their children in a remote Australian Aboriginal community","type":"article-journal","volume":"18"},"uris":["http://www.mendeley.com/documents/?uuid=d84f14e0-570a-4533-bed5-4f0c550ebe6e"]}],"mendeley":{"formattedCitation":"(Lowell &lt;i&gt;et al.&lt;/i&gt;, 2018)","plainTextFormattedCitation":"(Lowell et al., 2018)","previouslyFormattedCitation":"(Lowell &lt;i&gt;et al.&lt;/i&gt;, 2018)"},"properties":{"noteIndex":0},"schema":"https://github.com/citation-style-language/schema/raw/master/csl-citation.json"}</w:instrText>
      </w:r>
      <w:r w:rsidR="00B36552">
        <w:rPr>
          <w:rFonts w:eastAsiaTheme="minorHAnsi"/>
          <w:lang w:val="en-GB"/>
        </w:rPr>
        <w:fldChar w:fldCharType="separate"/>
      </w:r>
      <w:r w:rsidR="00B36552" w:rsidRPr="00B36552">
        <w:rPr>
          <w:rFonts w:eastAsiaTheme="minorHAnsi"/>
          <w:noProof/>
          <w:lang w:val="en-GB"/>
        </w:rPr>
        <w:t xml:space="preserve">(Lowell </w:t>
      </w:r>
      <w:r w:rsidR="00B36552" w:rsidRPr="00B36552">
        <w:rPr>
          <w:rFonts w:eastAsiaTheme="minorHAnsi"/>
          <w:i/>
          <w:noProof/>
          <w:lang w:val="en-GB"/>
        </w:rPr>
        <w:t>et al.</w:t>
      </w:r>
      <w:r w:rsidR="00B36552" w:rsidRPr="00B36552">
        <w:rPr>
          <w:rFonts w:eastAsiaTheme="minorHAnsi"/>
          <w:noProof/>
          <w:lang w:val="en-GB"/>
        </w:rPr>
        <w:t>, 2018)</w:t>
      </w:r>
      <w:r w:rsidR="00B36552">
        <w:rPr>
          <w:rFonts w:eastAsiaTheme="minorHAnsi"/>
          <w:lang w:val="en-GB"/>
        </w:rPr>
        <w:fldChar w:fldCharType="end"/>
      </w:r>
      <w:r w:rsidR="00B36552">
        <w:rPr>
          <w:rFonts w:eastAsiaTheme="minorHAnsi"/>
          <w:lang w:val="en-GB"/>
        </w:rPr>
        <w:t xml:space="preserve">. </w:t>
      </w:r>
    </w:p>
    <w:p w14:paraId="7C474917" w14:textId="71815ECF" w:rsidR="00862F7A" w:rsidRPr="000D2EEF" w:rsidRDefault="00862F7A" w:rsidP="000D2EEF">
      <w:pPr>
        <w:jc w:val="both"/>
        <w:rPr>
          <w:rFonts w:eastAsiaTheme="minorHAnsi"/>
          <w:lang w:val="en-GB"/>
        </w:rPr>
      </w:pPr>
      <w:r>
        <w:rPr>
          <w:rFonts w:eastAsiaTheme="minorHAnsi"/>
          <w:lang w:val="en-GB"/>
        </w:rPr>
        <w:t xml:space="preserve">To address the housing issues of Indigenous Australians, </w:t>
      </w:r>
      <w:r>
        <w:rPr>
          <w:lang w:val="en-GB"/>
        </w:rPr>
        <w:t>National Affordable Housing Agreement (NHA)</w:t>
      </w:r>
      <w:r>
        <w:rPr>
          <w:lang w:val="en-GB"/>
        </w:rPr>
        <w:t xml:space="preserve"> is intending to provide safe, reliable, and affordable living to all the underprivileged communities of Australia. Australian Government has arranged social housing for especially Aboriginals and Torres Islanders with 3 in 10 Indigenous Australians are living in social housing. Additionally, </w:t>
      </w:r>
      <w:r>
        <w:rPr>
          <w:lang w:val="en-GB"/>
        </w:rPr>
        <w:t>National Partnership agreement on remote Indigenous (NPARI)</w:t>
      </w:r>
      <w:r>
        <w:rPr>
          <w:lang w:val="en-GB"/>
        </w:rPr>
        <w:t xml:space="preserve"> is also working to deal with the housing issues of Aboriginal and Torres Islanders. For this program, </w:t>
      </w:r>
      <w:r w:rsidR="00AD31C6">
        <w:rPr>
          <w:lang w:val="en-GB"/>
        </w:rPr>
        <w:t xml:space="preserve">the </w:t>
      </w:r>
      <w:r>
        <w:rPr>
          <w:lang w:val="en-GB"/>
        </w:rPr>
        <w:t xml:space="preserve">government of Australia has allotted a large budget to solve the housing issues of the </w:t>
      </w:r>
      <w:r w:rsidR="00CC5B5E">
        <w:rPr>
          <w:lang w:val="en-GB"/>
        </w:rPr>
        <w:t xml:space="preserve">deprived communities </w:t>
      </w:r>
      <w:r w:rsidR="00CC5B5E">
        <w:rPr>
          <w:lang w:val="en-GB"/>
        </w:rPr>
        <w:fldChar w:fldCharType="begin" w:fldLock="1"/>
      </w:r>
      <w:r w:rsidR="00D45C82">
        <w:rPr>
          <w:lang w:val="en-GB"/>
        </w:rPr>
        <w:instrText>ADDIN CSL_CITATION {"citationItems":[{"id":"ITEM-1","itemData":{"author":[{"dropping-particle":"","family":"Milligan","given":"Vivienne","non-dropping-particle":"","parse-names":false,"suffix":""},{"dropping-particle":"","family":"Phillips","given":"Rhonda","non-dropping-particle":"","parse-names":false,"suffix":""},{"dropping-particle":"","family":"Easthope","given":"Hazel","non-dropping-particle":"","parse-names":false,"suffix":""},{"dropping-particle":"","family":"Lui","given":"Edgar","non-dropping-particle":"","parse-names":false,"suffix":""},{"dropping-particle":"","family":"Memmott","given":"Paul","non-dropping-particle":"","parse-names":false,"suffix":""}],"container-title":"AHURI Final Report","id":"ITEM-1","issue":"172","issued":{"date-parts":[["2011"]]},"page":"1-131","publisher":"Australian Housing and Urban Research Institute","title":"Urban social housing for Aboriginal people and Torres Strait Islanders: respecting culture and adapting services","type":"article-journal"},"uris":["http://www.mendeley.com/documents/?uuid=ce0ad38d-6c2d-4399-bdd8-2a82e11bf489"]},{"id":"ITEM-2","itemData":{"ISSN":"2183-2803","author":[{"dropping-particle":"","family":"Walter","given":"Maggie","non-dropping-particle":"","parse-names":false,"suffix":""}],"container-title":"Social Inclusion","id":"ITEM-2","issue":"1","issued":{"date-parts":[["2016"]]},"page":"68-76","title":"Social exclusion/inclusion for urban Aboriginal and Torres Strait Islander people","type":"article-journal","volume":"4"},"uris":["http://www.mendeley.com/documents/?uuid=c4bf3851-a201-46ed-af44-babccafb8117"]}],"mendeley":{"formattedCitation":"(Milligan &lt;i&gt;et al.&lt;/i&gt;, 2011; Walter, 2016)","plainTextFormattedCitation":"(Milligan et al., 2011; Walter, 2016)","previouslyFormattedCitation":"(Milligan &lt;i&gt;et al.&lt;/i&gt;, 2011; Walter, 2016)"},"properties":{"noteIndex":0},"schema":"https://github.com/citation-style-language/schema/raw/master/csl-citation.json"}</w:instrText>
      </w:r>
      <w:r w:rsidR="00CC5B5E">
        <w:rPr>
          <w:lang w:val="en-GB"/>
        </w:rPr>
        <w:fldChar w:fldCharType="separate"/>
      </w:r>
      <w:r w:rsidR="00CC5B5E" w:rsidRPr="00CC5B5E">
        <w:rPr>
          <w:noProof/>
          <w:lang w:val="en-GB"/>
        </w:rPr>
        <w:t xml:space="preserve">(Milligan </w:t>
      </w:r>
      <w:r w:rsidR="00CC5B5E" w:rsidRPr="00CC5B5E">
        <w:rPr>
          <w:i/>
          <w:noProof/>
          <w:lang w:val="en-GB"/>
        </w:rPr>
        <w:t>et al.</w:t>
      </w:r>
      <w:r w:rsidR="00CC5B5E" w:rsidRPr="00CC5B5E">
        <w:rPr>
          <w:noProof/>
          <w:lang w:val="en-GB"/>
        </w:rPr>
        <w:t>, 2011; Walter, 2016)</w:t>
      </w:r>
      <w:r w:rsidR="00CC5B5E">
        <w:rPr>
          <w:lang w:val="en-GB"/>
        </w:rPr>
        <w:fldChar w:fldCharType="end"/>
      </w:r>
      <w:r w:rsidR="00CC5B5E">
        <w:rPr>
          <w:lang w:val="en-GB"/>
        </w:rPr>
        <w:t>.</w:t>
      </w:r>
    </w:p>
    <w:p w14:paraId="4151010E" w14:textId="41432F67" w:rsidR="00FA76EC" w:rsidRPr="000D2EEF" w:rsidRDefault="00FA76EC" w:rsidP="000D2EEF">
      <w:pPr>
        <w:pStyle w:val="ListParagraph"/>
        <w:numPr>
          <w:ilvl w:val="0"/>
          <w:numId w:val="1"/>
        </w:numPr>
        <w:autoSpaceDE w:val="0"/>
        <w:autoSpaceDN w:val="0"/>
        <w:adjustRightInd w:val="0"/>
        <w:rPr>
          <w:b/>
          <w:bCs/>
          <w:lang w:val="en-GB"/>
        </w:rPr>
      </w:pPr>
      <w:r w:rsidRPr="000D2EEF">
        <w:rPr>
          <w:b/>
          <w:bCs/>
          <w:lang w:val="en-GB"/>
        </w:rPr>
        <w:t>Transport</w:t>
      </w:r>
    </w:p>
    <w:p w14:paraId="7A08307C" w14:textId="08B6F7E1" w:rsidR="00D45C82" w:rsidRPr="00311C36" w:rsidRDefault="00C05CFF" w:rsidP="00311C36">
      <w:pPr>
        <w:autoSpaceDE w:val="0"/>
        <w:autoSpaceDN w:val="0"/>
        <w:adjustRightInd w:val="0"/>
        <w:jc w:val="both"/>
        <w:rPr>
          <w:rFonts w:asciiTheme="majorBidi" w:hAnsiTheme="majorBidi" w:cstheme="majorBidi"/>
          <w:color w:val="000000" w:themeColor="text1"/>
          <w:lang w:val="en-GB"/>
        </w:rPr>
      </w:pPr>
      <w:r w:rsidRPr="00311C36">
        <w:rPr>
          <w:rFonts w:asciiTheme="majorBidi" w:hAnsiTheme="majorBidi" w:cstheme="majorBidi"/>
          <w:color w:val="000000" w:themeColor="text1"/>
          <w:lang w:val="en-GB"/>
        </w:rPr>
        <w:t>There is no doubt in the fact that transport has so much to do with health and safety of a person.</w:t>
      </w:r>
      <w:r w:rsidR="002A7A1A" w:rsidRPr="00311C36">
        <w:rPr>
          <w:rFonts w:asciiTheme="majorBidi" w:hAnsiTheme="majorBidi" w:cstheme="majorBidi"/>
          <w:color w:val="000000" w:themeColor="text1"/>
          <w:lang w:val="en-GB"/>
        </w:rPr>
        <w:t xml:space="preserve"> It is one of the key factors to access healthcare facilities and support. It does not only provide easy access to health services but also </w:t>
      </w:r>
      <w:r w:rsidR="005D0107" w:rsidRPr="00311C36">
        <w:rPr>
          <w:rFonts w:asciiTheme="majorBidi" w:hAnsiTheme="majorBidi" w:cstheme="majorBidi"/>
          <w:color w:val="000000" w:themeColor="text1"/>
          <w:lang w:val="en-GB"/>
        </w:rPr>
        <w:t xml:space="preserve">help in connecting to other people. Studies have shown that, transport is one the most important social determinants of health. </w:t>
      </w:r>
      <w:r w:rsidR="00C67A10">
        <w:rPr>
          <w:rFonts w:asciiTheme="majorBidi" w:hAnsiTheme="majorBidi" w:cstheme="majorBidi"/>
          <w:color w:val="000000" w:themeColor="text1"/>
          <w:lang w:val="en-GB"/>
        </w:rPr>
        <w:t>N</w:t>
      </w:r>
      <w:r w:rsidR="00D45C82" w:rsidRPr="00311C36">
        <w:rPr>
          <w:rFonts w:asciiTheme="majorBidi" w:hAnsiTheme="majorBidi" w:cstheme="majorBidi"/>
          <w:color w:val="000000" w:themeColor="text1"/>
          <w:lang w:val="en-GB"/>
        </w:rPr>
        <w:t xml:space="preserve">o access to the transport, is frequently experienced by people with disability, low demographic status, and people belong to deprived communities such as Aboriginals and Torres Islanders. Also, lack of transport is found to be associated with geographical regions, since people belong to rural and remote areas of Australia tend to experience the transport issues more than people of other regions </w:t>
      </w:r>
      <w:r w:rsidR="00D45C82" w:rsidRPr="00311C36">
        <w:rPr>
          <w:rFonts w:asciiTheme="majorBidi" w:hAnsiTheme="majorBidi" w:cstheme="majorBidi"/>
          <w:color w:val="000000" w:themeColor="text1"/>
          <w:lang w:val="en-GB"/>
        </w:rPr>
        <w:fldChar w:fldCharType="begin" w:fldLock="1"/>
      </w:r>
      <w:r w:rsidR="00097660" w:rsidRPr="00311C36">
        <w:rPr>
          <w:rFonts w:asciiTheme="majorBidi" w:hAnsiTheme="majorBidi" w:cstheme="majorBidi"/>
          <w:color w:val="000000" w:themeColor="text1"/>
          <w:lang w:val="en-GB"/>
        </w:rPr>
        <w:instrText>ADDIN CSL_CITATION {"citationItems":[{"id":"ITEM-1","itemData":{"author":[{"dropping-particle":"","family":"Rosier","given":"Kate","non-dropping-particle":"","parse-names":false,"suffix":""},{"dropping-particle":"","family":"McDonald","given":"Myfanwy","non-dropping-particle":"","parse-names":false,"suffix":""}],"id":"ITEM-1","issued":{"date-parts":[["2011"]]},"publisher":"Australian Institute of Family Studies","title":"The relationship between transport and disadvantage in Australia","type":"book"},"uris":["http://www.mendeley.com/documents/?uuid=50049ff5-5ae5-47c5-b59d-f10a992dd9a1"]}],"mendeley":{"formattedCitation":"(Rosier and McDonald, 2011)","plainTextFormattedCitation":"(Rosier and McDonald, 2011)","previouslyFormattedCitation":"(Rosier and McDonald, 2011)"},"properties":{"noteIndex":0},"schema":"https://github.com/citation-style-language/schema/raw/master/csl-citation.json"}</w:instrText>
      </w:r>
      <w:r w:rsidR="00D45C82" w:rsidRPr="00311C36">
        <w:rPr>
          <w:rFonts w:asciiTheme="majorBidi" w:hAnsiTheme="majorBidi" w:cstheme="majorBidi"/>
          <w:color w:val="000000" w:themeColor="text1"/>
          <w:lang w:val="en-GB"/>
        </w:rPr>
        <w:fldChar w:fldCharType="separate"/>
      </w:r>
      <w:r w:rsidR="00D45C82" w:rsidRPr="00311C36">
        <w:rPr>
          <w:rFonts w:asciiTheme="majorBidi" w:hAnsiTheme="majorBidi" w:cstheme="majorBidi"/>
          <w:noProof/>
          <w:color w:val="000000" w:themeColor="text1"/>
          <w:lang w:val="en-GB"/>
        </w:rPr>
        <w:t>(Rosier and McDonald, 2011)</w:t>
      </w:r>
      <w:r w:rsidR="00D45C82" w:rsidRPr="00311C36">
        <w:rPr>
          <w:rFonts w:asciiTheme="majorBidi" w:hAnsiTheme="majorBidi" w:cstheme="majorBidi"/>
          <w:color w:val="000000" w:themeColor="text1"/>
          <w:lang w:val="en-GB"/>
        </w:rPr>
        <w:fldChar w:fldCharType="end"/>
      </w:r>
      <w:r w:rsidR="00D45C82" w:rsidRPr="00311C36">
        <w:rPr>
          <w:rFonts w:asciiTheme="majorBidi" w:hAnsiTheme="majorBidi" w:cstheme="majorBidi"/>
          <w:color w:val="000000" w:themeColor="text1"/>
          <w:lang w:val="en-GB"/>
        </w:rPr>
        <w:t xml:space="preserve">. </w:t>
      </w:r>
      <w:r w:rsidR="007E27EF" w:rsidRPr="00311C36">
        <w:rPr>
          <w:rFonts w:asciiTheme="majorBidi" w:hAnsiTheme="majorBidi" w:cstheme="majorBidi"/>
          <w:color w:val="000000" w:themeColor="text1"/>
          <w:lang w:val="en-GB"/>
        </w:rPr>
        <w:t>Indigenous Australians are marginalised more in terms of social interaction as well as poor access to healthcare facilities as compared to other groups.</w:t>
      </w:r>
      <w:r w:rsidR="008B46A6" w:rsidRPr="00311C36">
        <w:rPr>
          <w:rFonts w:asciiTheme="majorBidi" w:hAnsiTheme="majorBidi" w:cstheme="majorBidi"/>
          <w:color w:val="000000" w:themeColor="text1"/>
          <w:lang w:val="en-GB"/>
        </w:rPr>
        <w:t xml:space="preserve"> Causative factors behind the poor access to transport are affordability, cultural differences, and suitability </w:t>
      </w:r>
      <w:r w:rsidR="008B46A6" w:rsidRPr="00311C36">
        <w:rPr>
          <w:rFonts w:asciiTheme="majorBidi" w:hAnsiTheme="majorBidi" w:cstheme="majorBidi"/>
          <w:color w:val="000000" w:themeColor="text1"/>
          <w:lang w:val="en-GB"/>
        </w:rPr>
        <w:fldChar w:fldCharType="begin" w:fldLock="1"/>
      </w:r>
      <w:r w:rsidR="00311C36">
        <w:rPr>
          <w:rFonts w:asciiTheme="majorBidi" w:hAnsiTheme="majorBidi" w:cstheme="majorBidi"/>
          <w:color w:val="000000" w:themeColor="text1"/>
          <w:lang w:val="en-GB"/>
        </w:rPr>
        <w:instrText>ADDIN CSL_CITATION {"citationItems":[{"id":"ITEM-1","itemData":{"ISBN":"1742495303","author":[{"dropping-particle":"","family":"Ware","given":"V","non-dropping-particle":"","parse-names":false,"suffix":""}],"id":"ITEM-1","issued":{"date-parts":[["2013"]]},"publisher":"Australian Institute of Health and Welfare","title":"Improving the accessibility of health services in urban and regional settings for Indigenous people","type":"book","volume":"27"},"uris":["http://www.mendeley.com/documents/?uuid=fcb87a1c-bc40-4f46-83b5-f8385f23a107"]}],"mendeley":{"formattedCitation":"(Ware, 2013)","plainTextFormattedCitation":"(Ware, 2013)","previouslyFormattedCitation":"(Ware, 2013)"},"properties":{"noteIndex":0},"schema":"https://github.com/citation-style-language/schema/raw/master/csl-citation.json"}</w:instrText>
      </w:r>
      <w:r w:rsidR="008B46A6" w:rsidRPr="00311C36">
        <w:rPr>
          <w:rFonts w:asciiTheme="majorBidi" w:hAnsiTheme="majorBidi" w:cstheme="majorBidi"/>
          <w:color w:val="000000" w:themeColor="text1"/>
          <w:lang w:val="en-GB"/>
        </w:rPr>
        <w:fldChar w:fldCharType="separate"/>
      </w:r>
      <w:r w:rsidR="008B46A6" w:rsidRPr="00311C36">
        <w:rPr>
          <w:rFonts w:asciiTheme="majorBidi" w:hAnsiTheme="majorBidi" w:cstheme="majorBidi"/>
          <w:noProof/>
          <w:color w:val="000000" w:themeColor="text1"/>
          <w:lang w:val="en-GB"/>
        </w:rPr>
        <w:t>(Ware, 2013)</w:t>
      </w:r>
      <w:r w:rsidR="008B46A6" w:rsidRPr="00311C36">
        <w:rPr>
          <w:rFonts w:asciiTheme="majorBidi" w:hAnsiTheme="majorBidi" w:cstheme="majorBidi"/>
          <w:color w:val="000000" w:themeColor="text1"/>
          <w:lang w:val="en-GB"/>
        </w:rPr>
        <w:fldChar w:fldCharType="end"/>
      </w:r>
      <w:r w:rsidR="008B46A6" w:rsidRPr="00311C36">
        <w:rPr>
          <w:rFonts w:asciiTheme="majorBidi" w:hAnsiTheme="majorBidi" w:cstheme="majorBidi"/>
          <w:color w:val="000000" w:themeColor="text1"/>
          <w:lang w:val="en-GB"/>
        </w:rPr>
        <w:t>.</w:t>
      </w:r>
      <w:r w:rsidR="007E27EF" w:rsidRPr="00311C36">
        <w:rPr>
          <w:rFonts w:asciiTheme="majorBidi" w:hAnsiTheme="majorBidi" w:cstheme="majorBidi"/>
          <w:color w:val="000000" w:themeColor="text1"/>
          <w:lang w:val="en-GB"/>
        </w:rPr>
        <w:t xml:space="preserve"> According to NCOSS Transport Policy Advice Group (2012), transport facilities are found to be inadequate to meet the needs of Indigenous Australians, and public transport is not common due to poor finance, and due to which Indigenous people </w:t>
      </w:r>
      <w:r w:rsidR="00097660" w:rsidRPr="00311C36">
        <w:rPr>
          <w:rFonts w:asciiTheme="majorBidi" w:hAnsiTheme="majorBidi" w:cstheme="majorBidi"/>
          <w:color w:val="000000" w:themeColor="text1"/>
          <w:lang w:val="en-GB"/>
        </w:rPr>
        <w:t>must</w:t>
      </w:r>
      <w:r w:rsidR="007E27EF" w:rsidRPr="00311C36">
        <w:rPr>
          <w:rFonts w:asciiTheme="majorBidi" w:hAnsiTheme="majorBidi" w:cstheme="majorBidi"/>
          <w:color w:val="000000" w:themeColor="text1"/>
          <w:lang w:val="en-GB"/>
        </w:rPr>
        <w:t xml:space="preserve"> experience </w:t>
      </w:r>
      <w:r w:rsidR="00097660" w:rsidRPr="00311C36">
        <w:rPr>
          <w:rFonts w:asciiTheme="majorBidi" w:hAnsiTheme="majorBidi" w:cstheme="majorBidi"/>
          <w:color w:val="000000" w:themeColor="text1"/>
          <w:lang w:val="en-GB"/>
        </w:rPr>
        <w:t xml:space="preserve">associated </w:t>
      </w:r>
      <w:r w:rsidR="007E27EF" w:rsidRPr="00311C36">
        <w:rPr>
          <w:rFonts w:asciiTheme="majorBidi" w:hAnsiTheme="majorBidi" w:cstheme="majorBidi"/>
          <w:color w:val="000000" w:themeColor="text1"/>
          <w:lang w:val="en-GB"/>
        </w:rPr>
        <w:t>challenges</w:t>
      </w:r>
      <w:r w:rsidR="00097660" w:rsidRPr="00311C36">
        <w:rPr>
          <w:rFonts w:asciiTheme="majorBidi" w:hAnsiTheme="majorBidi" w:cstheme="majorBidi"/>
          <w:color w:val="000000" w:themeColor="text1"/>
          <w:lang w:val="en-GB"/>
        </w:rPr>
        <w:t xml:space="preserve"> </w:t>
      </w:r>
      <w:r w:rsidR="00097660" w:rsidRPr="00311C36">
        <w:rPr>
          <w:rFonts w:asciiTheme="majorBidi" w:hAnsiTheme="majorBidi" w:cstheme="majorBidi"/>
          <w:color w:val="000000" w:themeColor="text1"/>
          <w:lang w:val="en-GB"/>
        </w:rPr>
        <w:fldChar w:fldCharType="begin" w:fldLock="1"/>
      </w:r>
      <w:r w:rsidR="008B46A6" w:rsidRPr="00311C36">
        <w:rPr>
          <w:rFonts w:asciiTheme="majorBidi" w:hAnsiTheme="majorBidi" w:cstheme="majorBidi"/>
          <w:color w:val="000000" w:themeColor="text1"/>
          <w:lang w:val="en-GB"/>
        </w:rPr>
        <w:instrText>ADDIN CSL_CITATION {"citationItems":[{"id":"ITEM-1","itemData":{"ISSN":"1353-8292","author":[{"dropping-particle":"","family":"Raerino","given":"K","non-dropping-particle":"","parse-names":false,"suffix":""},{"dropping-particle":"","family":"Macmillan","given":"Alex K","non-dropping-particle":"","parse-names":false,"suffix":""},{"dropping-particle":"","family":"Jones","given":"Rhys G","non-dropping-particle":"","parse-names":false,"suffix":""}],"container-title":"Health &amp; place","id":"ITEM-1","issued":{"date-parts":[["2013"]]},"page":"54-62","publisher":"Elsevier","title":"Indigenous Māori perspectives on urban transport patterns linked to health and wellbeing","type":"article-journal","volume":"23"},"uris":["http://www.mendeley.com/documents/?uuid=e85899e2-f4cd-4cee-ad25-03ea4fb53434"]}],"mendeley":{"formattedCitation":"(Raerino, Macmillan and Jones, 2013)","plainTextFormattedCitation":"(Raerino, Macmillan and Jones, 2013)","previouslyFormattedCitation":"(Raerino, Macmillan and Jones, 2013)"},"properties":{"noteIndex":0},"schema":"https://github.com/citation-style-language/schema/raw/master/csl-citation.json"}</w:instrText>
      </w:r>
      <w:r w:rsidR="00097660" w:rsidRPr="00311C36">
        <w:rPr>
          <w:rFonts w:asciiTheme="majorBidi" w:hAnsiTheme="majorBidi" w:cstheme="majorBidi"/>
          <w:color w:val="000000" w:themeColor="text1"/>
          <w:lang w:val="en-GB"/>
        </w:rPr>
        <w:fldChar w:fldCharType="separate"/>
      </w:r>
      <w:r w:rsidR="00097660" w:rsidRPr="00311C36">
        <w:rPr>
          <w:rFonts w:asciiTheme="majorBidi" w:hAnsiTheme="majorBidi" w:cstheme="majorBidi"/>
          <w:noProof/>
          <w:color w:val="000000" w:themeColor="text1"/>
          <w:lang w:val="en-GB"/>
        </w:rPr>
        <w:t>(Raerino, Macmillan and Jones, 2013)</w:t>
      </w:r>
      <w:r w:rsidR="00097660" w:rsidRPr="00311C36">
        <w:rPr>
          <w:rFonts w:asciiTheme="majorBidi" w:hAnsiTheme="majorBidi" w:cstheme="majorBidi"/>
          <w:color w:val="000000" w:themeColor="text1"/>
          <w:lang w:val="en-GB"/>
        </w:rPr>
        <w:fldChar w:fldCharType="end"/>
      </w:r>
      <w:r w:rsidR="00097660" w:rsidRPr="00311C36">
        <w:rPr>
          <w:rFonts w:asciiTheme="majorBidi" w:hAnsiTheme="majorBidi" w:cstheme="majorBidi"/>
          <w:color w:val="000000" w:themeColor="text1"/>
          <w:lang w:val="en-GB"/>
        </w:rPr>
        <w:t xml:space="preserve">. </w:t>
      </w:r>
    </w:p>
    <w:p w14:paraId="237F5404" w14:textId="24FCE654" w:rsidR="00242A09" w:rsidRPr="00AD31C6" w:rsidRDefault="008B46A6" w:rsidP="00AD31C6">
      <w:pPr>
        <w:autoSpaceDE w:val="0"/>
        <w:autoSpaceDN w:val="0"/>
        <w:adjustRightInd w:val="0"/>
        <w:jc w:val="both"/>
        <w:rPr>
          <w:rFonts w:asciiTheme="majorBidi" w:hAnsiTheme="majorBidi" w:cstheme="majorBidi"/>
          <w:color w:val="000000" w:themeColor="text1"/>
          <w:lang w:val="en-GB"/>
        </w:rPr>
      </w:pPr>
      <w:r w:rsidRPr="00311C36">
        <w:rPr>
          <w:rFonts w:asciiTheme="majorBidi" w:hAnsiTheme="majorBidi" w:cstheme="majorBidi"/>
          <w:color w:val="000000" w:themeColor="text1"/>
          <w:lang w:val="en-GB"/>
        </w:rPr>
        <w:t xml:space="preserve">According to the key factors measured by </w:t>
      </w:r>
      <w:r w:rsidRPr="00311C36">
        <w:rPr>
          <w:rFonts w:asciiTheme="majorBidi" w:hAnsiTheme="majorBidi" w:cstheme="majorBidi"/>
          <w:color w:val="000000" w:themeColor="text1"/>
          <w:shd w:val="clear" w:color="auto" w:fill="FFFFFF"/>
        </w:rPr>
        <w:t>National Aboriginal and Torres Strait Islander Social Survey</w:t>
      </w:r>
      <w:r w:rsidRPr="00311C36">
        <w:rPr>
          <w:rFonts w:asciiTheme="majorBidi" w:hAnsiTheme="majorBidi" w:cstheme="majorBidi"/>
          <w:color w:val="000000" w:themeColor="text1"/>
          <w:shd w:val="clear" w:color="auto" w:fill="FFFFFF"/>
          <w:lang w:val="en-US"/>
        </w:rPr>
        <w:t xml:space="preserve"> (</w:t>
      </w:r>
      <w:r w:rsidRPr="00311C36">
        <w:rPr>
          <w:rFonts w:asciiTheme="majorBidi" w:hAnsiTheme="majorBidi" w:cstheme="majorBidi"/>
          <w:color w:val="000000" w:themeColor="text1"/>
          <w:shd w:val="clear" w:color="auto" w:fill="FFFFFF"/>
        </w:rPr>
        <w:t>NATSISS</w:t>
      </w:r>
      <w:r w:rsidRPr="00311C36">
        <w:rPr>
          <w:rFonts w:asciiTheme="majorBidi" w:hAnsiTheme="majorBidi" w:cstheme="majorBidi"/>
          <w:color w:val="000000" w:themeColor="text1"/>
          <w:shd w:val="clear" w:color="auto" w:fill="FFFFFF"/>
          <w:lang w:val="en-US"/>
        </w:rPr>
        <w:t>) in 2018-19, 30% Indigenous Australian aged 15 missed going to find a healthcare. Out of these 30%, 13% people found distance as the barrier.</w:t>
      </w:r>
      <w:r w:rsidR="00907FD7" w:rsidRPr="00311C36">
        <w:rPr>
          <w:rFonts w:asciiTheme="majorBidi" w:hAnsiTheme="majorBidi" w:cstheme="majorBidi"/>
          <w:color w:val="000000" w:themeColor="text1"/>
          <w:shd w:val="clear" w:color="auto" w:fill="FFFFFF"/>
          <w:lang w:val="en-US"/>
        </w:rPr>
        <w:t xml:space="preserve">12% people missed their visit to </w:t>
      </w:r>
      <w:r w:rsidR="00AD31C6">
        <w:rPr>
          <w:rFonts w:asciiTheme="majorBidi" w:hAnsiTheme="majorBidi" w:cstheme="majorBidi"/>
          <w:color w:val="000000" w:themeColor="text1"/>
          <w:shd w:val="clear" w:color="auto" w:fill="FFFFFF"/>
          <w:lang w:val="en-US"/>
        </w:rPr>
        <w:t xml:space="preserve">the </w:t>
      </w:r>
      <w:r w:rsidR="00907FD7" w:rsidRPr="00311C36">
        <w:rPr>
          <w:rFonts w:asciiTheme="majorBidi" w:hAnsiTheme="majorBidi" w:cstheme="majorBidi"/>
          <w:color w:val="000000" w:themeColor="text1"/>
          <w:shd w:val="clear" w:color="auto" w:fill="FFFFFF"/>
          <w:lang w:val="en-US"/>
        </w:rPr>
        <w:t>doctor</w:t>
      </w:r>
      <w:r w:rsidR="00AD31C6">
        <w:rPr>
          <w:rFonts w:asciiTheme="majorBidi" w:hAnsiTheme="majorBidi" w:cstheme="majorBidi"/>
          <w:color w:val="000000" w:themeColor="text1"/>
          <w:shd w:val="clear" w:color="auto" w:fill="FFFFFF"/>
          <w:lang w:val="en-US"/>
        </w:rPr>
        <w:t>s</w:t>
      </w:r>
      <w:r w:rsidR="00907FD7" w:rsidRPr="00311C36">
        <w:rPr>
          <w:rFonts w:asciiTheme="majorBidi" w:hAnsiTheme="majorBidi" w:cstheme="majorBidi"/>
          <w:color w:val="000000" w:themeColor="text1"/>
          <w:shd w:val="clear" w:color="auto" w:fill="FFFFFF"/>
          <w:lang w:val="en-US"/>
        </w:rPr>
        <w:t>, 10% to the counsellors, 14% to the doctor, and 9% to the other services.</w:t>
      </w:r>
      <w:r w:rsidRPr="00311C36">
        <w:rPr>
          <w:rFonts w:asciiTheme="majorBidi" w:hAnsiTheme="majorBidi" w:cstheme="majorBidi"/>
          <w:color w:val="000000" w:themeColor="text1"/>
          <w:shd w:val="clear" w:color="auto" w:fill="FFFFFF"/>
          <w:lang w:val="en-US"/>
        </w:rPr>
        <w:t xml:space="preserve"> </w:t>
      </w:r>
      <w:r w:rsidR="00907FD7" w:rsidRPr="00311C36">
        <w:rPr>
          <w:rFonts w:asciiTheme="majorBidi" w:hAnsiTheme="majorBidi" w:cstheme="majorBidi"/>
          <w:color w:val="000000" w:themeColor="text1"/>
          <w:shd w:val="clear" w:color="auto" w:fill="FFFFFF"/>
          <w:lang w:val="en-US"/>
        </w:rPr>
        <w:t>In the survey</w:t>
      </w:r>
      <w:r w:rsidR="009E39FF" w:rsidRPr="00311C36">
        <w:rPr>
          <w:rFonts w:asciiTheme="majorBidi" w:hAnsiTheme="majorBidi" w:cstheme="majorBidi"/>
          <w:color w:val="000000" w:themeColor="text1"/>
          <w:shd w:val="clear" w:color="auto" w:fill="FFFFFF"/>
          <w:lang w:val="en-US"/>
        </w:rPr>
        <w:t>,</w:t>
      </w:r>
      <w:r w:rsidR="00907FD7" w:rsidRPr="00311C36">
        <w:rPr>
          <w:rFonts w:asciiTheme="majorBidi" w:hAnsiTheme="majorBidi" w:cstheme="majorBidi"/>
          <w:color w:val="000000" w:themeColor="text1"/>
          <w:shd w:val="clear" w:color="auto" w:fill="FFFFFF"/>
          <w:lang w:val="en-US"/>
        </w:rPr>
        <w:t xml:space="preserve"> </w:t>
      </w:r>
      <w:r w:rsidR="009E39FF" w:rsidRPr="00311C36">
        <w:rPr>
          <w:rFonts w:asciiTheme="majorBidi" w:hAnsiTheme="majorBidi" w:cstheme="majorBidi"/>
          <w:color w:val="000000" w:themeColor="text1"/>
          <w:shd w:val="clear" w:color="auto" w:fill="FFFFFF"/>
          <w:lang w:val="en-US"/>
        </w:rPr>
        <w:t xml:space="preserve">performed in 2002, 70% Indigenous Australians aged 15 got easy access to the transport, whereas in the same year 84% Non-Indigenous Australians reported easy access to transport. </w:t>
      </w:r>
      <w:r w:rsidR="00242A09" w:rsidRPr="00311C36">
        <w:rPr>
          <w:rFonts w:asciiTheme="majorBidi" w:hAnsiTheme="majorBidi" w:cstheme="majorBidi"/>
          <w:color w:val="000000" w:themeColor="text1"/>
          <w:shd w:val="clear" w:color="auto" w:fill="FFFFFF"/>
          <w:lang w:val="en-US"/>
        </w:rPr>
        <w:t>As compared to Non-Indigenous Australians, 9% more Indigenous Australians faced the transport issues in 2002 (</w:t>
      </w:r>
      <w:r w:rsidR="00242A09" w:rsidRPr="00311C36">
        <w:rPr>
          <w:rFonts w:asciiTheme="majorBidi" w:hAnsiTheme="majorBidi" w:cstheme="majorBidi"/>
          <w:color w:val="000000" w:themeColor="text1"/>
          <w:shd w:val="clear" w:color="auto" w:fill="FFFFFF"/>
        </w:rPr>
        <w:t>AIHW Indigenous HPF</w:t>
      </w:r>
      <w:r w:rsidR="00242A09" w:rsidRPr="00311C36">
        <w:rPr>
          <w:rFonts w:asciiTheme="majorBidi" w:hAnsiTheme="majorBidi" w:cstheme="majorBidi"/>
          <w:color w:val="000000" w:themeColor="text1"/>
          <w:shd w:val="clear" w:color="auto" w:fill="FFFFFF"/>
          <w:lang w:val="en-US"/>
        </w:rPr>
        <w:t xml:space="preserve">, </w:t>
      </w:r>
      <w:r w:rsidR="00242A09" w:rsidRPr="00311C36">
        <w:rPr>
          <w:rFonts w:asciiTheme="majorBidi" w:hAnsiTheme="majorBidi" w:cstheme="majorBidi"/>
          <w:color w:val="000000" w:themeColor="text1"/>
          <w:shd w:val="clear" w:color="auto" w:fill="FFFFFF"/>
        </w:rPr>
        <w:t>2020</w:t>
      </w:r>
      <w:r w:rsidR="00242A09" w:rsidRPr="00311C36">
        <w:rPr>
          <w:rFonts w:asciiTheme="majorBidi" w:hAnsiTheme="majorBidi" w:cstheme="majorBidi"/>
          <w:color w:val="000000" w:themeColor="text1"/>
          <w:shd w:val="clear" w:color="auto" w:fill="FFFFFF"/>
          <w:lang w:val="en-US"/>
        </w:rPr>
        <w:t xml:space="preserve">; </w:t>
      </w:r>
      <w:r w:rsidR="00242A09" w:rsidRPr="00311C36">
        <w:rPr>
          <w:rFonts w:asciiTheme="majorBidi" w:hAnsiTheme="majorBidi" w:cstheme="majorBidi"/>
          <w:color w:val="000000" w:themeColor="text1"/>
          <w:shd w:val="clear" w:color="auto" w:fill="FFFFFF"/>
        </w:rPr>
        <w:t>Australian Institute of Health and Welfare</w:t>
      </w:r>
      <w:r w:rsidR="00242A09" w:rsidRPr="00311C36">
        <w:rPr>
          <w:rFonts w:asciiTheme="majorBidi" w:hAnsiTheme="majorBidi" w:cstheme="majorBidi"/>
          <w:color w:val="000000" w:themeColor="text1"/>
          <w:shd w:val="clear" w:color="auto" w:fill="FFFFFF"/>
          <w:lang w:val="en-US"/>
        </w:rPr>
        <w:t xml:space="preserve">, </w:t>
      </w:r>
      <w:r w:rsidR="00242A09" w:rsidRPr="00311C36">
        <w:rPr>
          <w:rFonts w:asciiTheme="majorBidi" w:hAnsiTheme="majorBidi" w:cstheme="majorBidi"/>
          <w:color w:val="000000" w:themeColor="text1"/>
          <w:shd w:val="clear" w:color="auto" w:fill="FFFFFF"/>
        </w:rPr>
        <w:t>2021</w:t>
      </w:r>
      <w:r w:rsidR="00242A09" w:rsidRPr="00311C36">
        <w:rPr>
          <w:rFonts w:asciiTheme="majorBidi" w:hAnsiTheme="majorBidi" w:cstheme="majorBidi"/>
          <w:color w:val="000000" w:themeColor="text1"/>
          <w:shd w:val="clear" w:color="auto" w:fill="FFFFFF"/>
          <w:lang w:val="en-US"/>
        </w:rPr>
        <w:t>).</w:t>
      </w:r>
      <w:r w:rsidR="00311C36">
        <w:rPr>
          <w:rFonts w:asciiTheme="majorBidi" w:hAnsiTheme="majorBidi" w:cstheme="majorBidi"/>
          <w:color w:val="000000" w:themeColor="text1"/>
          <w:shd w:val="clear" w:color="auto" w:fill="FFFFFF"/>
          <w:lang w:val="en-US"/>
        </w:rPr>
        <w:t xml:space="preserve"> To address the transport issues to ensure the eas</w:t>
      </w:r>
      <w:r w:rsidR="00AD31C6">
        <w:rPr>
          <w:rFonts w:asciiTheme="majorBidi" w:hAnsiTheme="majorBidi" w:cstheme="majorBidi"/>
          <w:color w:val="000000" w:themeColor="text1"/>
          <w:shd w:val="clear" w:color="auto" w:fill="FFFFFF"/>
          <w:lang w:val="en-US"/>
        </w:rPr>
        <w:t>y</w:t>
      </w:r>
      <w:r w:rsidR="00311C36">
        <w:rPr>
          <w:rFonts w:asciiTheme="majorBidi" w:hAnsiTheme="majorBidi" w:cstheme="majorBidi"/>
          <w:color w:val="000000" w:themeColor="text1"/>
          <w:shd w:val="clear" w:color="auto" w:fill="FFFFFF"/>
          <w:lang w:val="en-US"/>
        </w:rPr>
        <w:t xml:space="preserve"> access to healthcare facilities for Indigenous communities, Australian Government should support </w:t>
      </w:r>
      <w:r w:rsidR="00311C36">
        <w:rPr>
          <w:rFonts w:asciiTheme="majorBidi" w:hAnsiTheme="majorBidi" w:cstheme="majorBidi"/>
          <w:color w:val="000000" w:themeColor="text1"/>
          <w:shd w:val="clear" w:color="auto" w:fill="FFFFFF"/>
          <w:lang w:val="en-US"/>
        </w:rPr>
        <w:lastRenderedPageBreak/>
        <w:t xml:space="preserve">transport services in the country. For Indigenous Australians, </w:t>
      </w:r>
      <w:r w:rsidR="00311C36">
        <w:rPr>
          <w:lang w:val="en-GB"/>
        </w:rPr>
        <w:t>Patient Transport Service</w:t>
      </w:r>
      <w:r w:rsidR="00311C36">
        <w:rPr>
          <w:lang w:val="en-GB"/>
        </w:rPr>
        <w:t xml:space="preserve"> should be specified, so that, they can access healthcare facilities on time. Also, culturally secure transport should be provided to Aboriginals and Torres Islanders, so that, they do not face discrimination while travelling. Government is working to address the issue, especially for the people of marginalised communities with different diseases </w:t>
      </w:r>
      <w:r w:rsidR="00311C36">
        <w:rPr>
          <w:lang w:val="en-GB"/>
        </w:rPr>
        <w:fldChar w:fldCharType="begin" w:fldLock="1"/>
      </w:r>
      <w:r w:rsidR="003E1942">
        <w:rPr>
          <w:lang w:val="en-GB"/>
        </w:rPr>
        <w:instrText>ADDIN CSL_CITATION {"citationItems":[{"id":"ITEM-1","itemData":{"ISBN":"1742495303","author":[{"dropping-particle":"","family":"Ware","given":"V","non-dropping-particle":"","parse-names":false,"suffix":""}],"id":"ITEM-1","issued":{"date-parts":[["2013"]]},"publisher":"Australian Institute of Health and Welfare","title":"Improving the accessibility of health services in urban and regional settings for Indigenous people","type":"book","volume":"27"},"uris":["http://www.mendeley.com/documents/?uuid=fcb87a1c-bc40-4f46-83b5-f8385f23a107"]}],"mendeley":{"formattedCitation":"(Ware, 2013)","manualFormatting":"(Ware, 2013; AIHW Indigenous HPF, 2020)","plainTextFormattedCitation":"(Ware, 2013)","previouslyFormattedCitation":"(Ware, 2013)"},"properties":{"noteIndex":0},"schema":"https://github.com/citation-style-language/schema/raw/master/csl-citation.json"}</w:instrText>
      </w:r>
      <w:r w:rsidR="00311C36">
        <w:rPr>
          <w:lang w:val="en-GB"/>
        </w:rPr>
        <w:fldChar w:fldCharType="separate"/>
      </w:r>
      <w:r w:rsidR="00311C36" w:rsidRPr="00311C36">
        <w:rPr>
          <w:noProof/>
          <w:lang w:val="en-GB"/>
        </w:rPr>
        <w:t>(Ware, 2013</w:t>
      </w:r>
      <w:r w:rsidR="00311C36">
        <w:rPr>
          <w:noProof/>
          <w:lang w:val="en-GB"/>
        </w:rPr>
        <w:t xml:space="preserve">; </w:t>
      </w:r>
      <w:r w:rsidR="00311C36" w:rsidRPr="00311C36">
        <w:rPr>
          <w:rFonts w:asciiTheme="majorBidi" w:hAnsiTheme="majorBidi" w:cstheme="majorBidi"/>
          <w:noProof/>
          <w:color w:val="000000" w:themeColor="text1"/>
          <w:shd w:val="clear" w:color="auto" w:fill="FFFFFF"/>
        </w:rPr>
        <w:t>AIHW Indigenous HPF</w:t>
      </w:r>
      <w:r w:rsidR="00311C36" w:rsidRPr="00311C36">
        <w:rPr>
          <w:rFonts w:asciiTheme="majorBidi" w:hAnsiTheme="majorBidi" w:cstheme="majorBidi"/>
          <w:noProof/>
          <w:color w:val="000000" w:themeColor="text1"/>
          <w:shd w:val="clear" w:color="auto" w:fill="FFFFFF"/>
          <w:lang w:val="en-US"/>
        </w:rPr>
        <w:t xml:space="preserve">, </w:t>
      </w:r>
      <w:r w:rsidR="00311C36" w:rsidRPr="00311C36">
        <w:rPr>
          <w:rFonts w:asciiTheme="majorBidi" w:hAnsiTheme="majorBidi" w:cstheme="majorBidi"/>
          <w:noProof/>
          <w:color w:val="000000" w:themeColor="text1"/>
          <w:shd w:val="clear" w:color="auto" w:fill="FFFFFF"/>
        </w:rPr>
        <w:t>2020</w:t>
      </w:r>
      <w:r w:rsidR="00311C36" w:rsidRPr="00311C36">
        <w:rPr>
          <w:noProof/>
          <w:lang w:val="en-GB"/>
        </w:rPr>
        <w:t>)</w:t>
      </w:r>
      <w:r w:rsidR="00311C36">
        <w:rPr>
          <w:lang w:val="en-GB"/>
        </w:rPr>
        <w:fldChar w:fldCharType="end"/>
      </w:r>
      <w:r w:rsidR="00311C36">
        <w:rPr>
          <w:lang w:val="en-GB"/>
        </w:rPr>
        <w:t>.</w:t>
      </w:r>
    </w:p>
    <w:p w14:paraId="1966D3E7" w14:textId="21185CBE" w:rsidR="00FA76EC" w:rsidRPr="000D2EEF" w:rsidRDefault="00FA76EC" w:rsidP="00311C36">
      <w:pPr>
        <w:autoSpaceDE w:val="0"/>
        <w:autoSpaceDN w:val="0"/>
        <w:adjustRightInd w:val="0"/>
        <w:rPr>
          <w:b/>
          <w:bCs/>
          <w:lang w:val="en-GB"/>
        </w:rPr>
      </w:pPr>
      <w:r w:rsidRPr="000D2EEF">
        <w:rPr>
          <w:b/>
          <w:bCs/>
          <w:lang w:val="en-GB"/>
        </w:rPr>
        <w:t>Conclusion</w:t>
      </w:r>
    </w:p>
    <w:p w14:paraId="3EAA9833" w14:textId="1601B884" w:rsidR="00311C36" w:rsidRDefault="00311C36" w:rsidP="003E1942">
      <w:pPr>
        <w:autoSpaceDE w:val="0"/>
        <w:autoSpaceDN w:val="0"/>
        <w:adjustRightInd w:val="0"/>
        <w:jc w:val="both"/>
        <w:rPr>
          <w:lang w:val="en-GB"/>
        </w:rPr>
      </w:pPr>
      <w:r>
        <w:rPr>
          <w:lang w:val="en-GB"/>
        </w:rPr>
        <w:t>Indigenous Australians (Aboriginal and Torres Islanders) have been facing various issues</w:t>
      </w:r>
      <w:r w:rsidR="003E1942">
        <w:rPr>
          <w:lang w:val="en-GB"/>
        </w:rPr>
        <w:t xml:space="preserve">, which have affected their health, and socioeconomic status a lot. Racial and cultural discrimination have been prevalent always in the Indigenous part of Australia, and they did not get as good social determinants of health as Non-Indigenous Australians. Efforts made by the Australian Government have improved the provision of these determinants, but still there is a large gap to close. Government of Australia in association with other public establishments is working to address the issues related to social determinants of health such as housing, employment, education, and travelling, especially for the Aboriginals and Torres Islanders. </w:t>
      </w:r>
    </w:p>
    <w:p w14:paraId="0547C289" w14:textId="00E4A442" w:rsidR="00586FD5" w:rsidRDefault="00586FD5" w:rsidP="00FA76EC">
      <w:pPr>
        <w:autoSpaceDE w:val="0"/>
        <w:autoSpaceDN w:val="0"/>
        <w:adjustRightInd w:val="0"/>
        <w:jc w:val="both"/>
        <w:rPr>
          <w:lang w:val="en-GB"/>
        </w:rPr>
      </w:pPr>
    </w:p>
    <w:p w14:paraId="5E7E2801" w14:textId="28D198C4" w:rsidR="000D2EEF" w:rsidRDefault="000D2EEF" w:rsidP="00FA76EC">
      <w:pPr>
        <w:autoSpaceDE w:val="0"/>
        <w:autoSpaceDN w:val="0"/>
        <w:adjustRightInd w:val="0"/>
        <w:jc w:val="both"/>
        <w:rPr>
          <w:lang w:val="en-GB"/>
        </w:rPr>
      </w:pPr>
    </w:p>
    <w:p w14:paraId="0BDE5373" w14:textId="6B3417C0" w:rsidR="000D2EEF" w:rsidRDefault="000D2EEF" w:rsidP="00FA76EC">
      <w:pPr>
        <w:autoSpaceDE w:val="0"/>
        <w:autoSpaceDN w:val="0"/>
        <w:adjustRightInd w:val="0"/>
        <w:jc w:val="both"/>
        <w:rPr>
          <w:lang w:val="en-GB"/>
        </w:rPr>
      </w:pPr>
    </w:p>
    <w:p w14:paraId="48800AB3" w14:textId="732748DF" w:rsidR="000D2EEF" w:rsidRDefault="000D2EEF" w:rsidP="00FA76EC">
      <w:pPr>
        <w:autoSpaceDE w:val="0"/>
        <w:autoSpaceDN w:val="0"/>
        <w:adjustRightInd w:val="0"/>
        <w:jc w:val="both"/>
        <w:rPr>
          <w:lang w:val="en-GB"/>
        </w:rPr>
      </w:pPr>
    </w:p>
    <w:p w14:paraId="452376AB" w14:textId="7C8C4812" w:rsidR="000D2EEF" w:rsidRDefault="000D2EEF" w:rsidP="00FA76EC">
      <w:pPr>
        <w:autoSpaceDE w:val="0"/>
        <w:autoSpaceDN w:val="0"/>
        <w:adjustRightInd w:val="0"/>
        <w:jc w:val="both"/>
        <w:rPr>
          <w:lang w:val="en-GB"/>
        </w:rPr>
      </w:pPr>
    </w:p>
    <w:p w14:paraId="2CB5E575" w14:textId="59308A5A" w:rsidR="000D2EEF" w:rsidRDefault="000D2EEF" w:rsidP="00FA76EC">
      <w:pPr>
        <w:autoSpaceDE w:val="0"/>
        <w:autoSpaceDN w:val="0"/>
        <w:adjustRightInd w:val="0"/>
        <w:jc w:val="both"/>
        <w:rPr>
          <w:lang w:val="en-GB"/>
        </w:rPr>
      </w:pPr>
    </w:p>
    <w:p w14:paraId="36387829" w14:textId="2F669217" w:rsidR="000D2EEF" w:rsidRDefault="000D2EEF" w:rsidP="00FA76EC">
      <w:pPr>
        <w:autoSpaceDE w:val="0"/>
        <w:autoSpaceDN w:val="0"/>
        <w:adjustRightInd w:val="0"/>
        <w:jc w:val="both"/>
        <w:rPr>
          <w:lang w:val="en-GB"/>
        </w:rPr>
      </w:pPr>
    </w:p>
    <w:p w14:paraId="0CFF43FE" w14:textId="37E00D43" w:rsidR="000D2EEF" w:rsidRDefault="000D2EEF" w:rsidP="00FA76EC">
      <w:pPr>
        <w:autoSpaceDE w:val="0"/>
        <w:autoSpaceDN w:val="0"/>
        <w:adjustRightInd w:val="0"/>
        <w:jc w:val="both"/>
        <w:rPr>
          <w:lang w:val="en-GB"/>
        </w:rPr>
      </w:pPr>
    </w:p>
    <w:p w14:paraId="2969A0B4" w14:textId="5446D94E" w:rsidR="000D2EEF" w:rsidRDefault="000D2EEF" w:rsidP="00FA76EC">
      <w:pPr>
        <w:autoSpaceDE w:val="0"/>
        <w:autoSpaceDN w:val="0"/>
        <w:adjustRightInd w:val="0"/>
        <w:jc w:val="both"/>
        <w:rPr>
          <w:lang w:val="en-GB"/>
        </w:rPr>
      </w:pPr>
    </w:p>
    <w:p w14:paraId="3D0B5CDA" w14:textId="77F5F707" w:rsidR="000D2EEF" w:rsidRDefault="000D2EEF" w:rsidP="00FA76EC">
      <w:pPr>
        <w:autoSpaceDE w:val="0"/>
        <w:autoSpaceDN w:val="0"/>
        <w:adjustRightInd w:val="0"/>
        <w:jc w:val="both"/>
        <w:rPr>
          <w:lang w:val="en-GB"/>
        </w:rPr>
      </w:pPr>
    </w:p>
    <w:p w14:paraId="3212AD99" w14:textId="119A8959" w:rsidR="000D2EEF" w:rsidRDefault="000D2EEF" w:rsidP="00FA76EC">
      <w:pPr>
        <w:autoSpaceDE w:val="0"/>
        <w:autoSpaceDN w:val="0"/>
        <w:adjustRightInd w:val="0"/>
        <w:jc w:val="both"/>
        <w:rPr>
          <w:lang w:val="en-GB"/>
        </w:rPr>
      </w:pPr>
    </w:p>
    <w:p w14:paraId="7093C8BC" w14:textId="7088D758" w:rsidR="000D2EEF" w:rsidRDefault="000D2EEF" w:rsidP="00FA76EC">
      <w:pPr>
        <w:autoSpaceDE w:val="0"/>
        <w:autoSpaceDN w:val="0"/>
        <w:adjustRightInd w:val="0"/>
        <w:jc w:val="both"/>
        <w:rPr>
          <w:lang w:val="en-GB"/>
        </w:rPr>
      </w:pPr>
    </w:p>
    <w:p w14:paraId="4CBA3F55" w14:textId="201C7D2B" w:rsidR="000D2EEF" w:rsidRDefault="000D2EEF" w:rsidP="00FA76EC">
      <w:pPr>
        <w:autoSpaceDE w:val="0"/>
        <w:autoSpaceDN w:val="0"/>
        <w:adjustRightInd w:val="0"/>
        <w:jc w:val="both"/>
        <w:rPr>
          <w:lang w:val="en-GB"/>
        </w:rPr>
      </w:pPr>
    </w:p>
    <w:p w14:paraId="7FFA9390" w14:textId="4AFBFD50" w:rsidR="000D2EEF" w:rsidRDefault="000D2EEF" w:rsidP="00FA76EC">
      <w:pPr>
        <w:autoSpaceDE w:val="0"/>
        <w:autoSpaceDN w:val="0"/>
        <w:adjustRightInd w:val="0"/>
        <w:jc w:val="both"/>
        <w:rPr>
          <w:lang w:val="en-GB"/>
        </w:rPr>
      </w:pPr>
    </w:p>
    <w:p w14:paraId="4031C599" w14:textId="507648C3" w:rsidR="000D2EEF" w:rsidRDefault="000D2EEF" w:rsidP="00FA76EC">
      <w:pPr>
        <w:autoSpaceDE w:val="0"/>
        <w:autoSpaceDN w:val="0"/>
        <w:adjustRightInd w:val="0"/>
        <w:jc w:val="both"/>
        <w:rPr>
          <w:lang w:val="en-GB"/>
        </w:rPr>
      </w:pPr>
    </w:p>
    <w:p w14:paraId="64D233EF" w14:textId="6F1F4285" w:rsidR="000D2EEF" w:rsidRDefault="000D2EEF" w:rsidP="00FA76EC">
      <w:pPr>
        <w:autoSpaceDE w:val="0"/>
        <w:autoSpaceDN w:val="0"/>
        <w:adjustRightInd w:val="0"/>
        <w:jc w:val="both"/>
        <w:rPr>
          <w:lang w:val="en-GB"/>
        </w:rPr>
      </w:pPr>
    </w:p>
    <w:p w14:paraId="1D47DB55" w14:textId="68B61ED3" w:rsidR="000D2EEF" w:rsidRDefault="000D2EEF" w:rsidP="00FA76EC">
      <w:pPr>
        <w:autoSpaceDE w:val="0"/>
        <w:autoSpaceDN w:val="0"/>
        <w:adjustRightInd w:val="0"/>
        <w:jc w:val="both"/>
        <w:rPr>
          <w:lang w:val="en-GB"/>
        </w:rPr>
      </w:pPr>
    </w:p>
    <w:p w14:paraId="2DC9616A" w14:textId="21AAF467" w:rsidR="000D2EEF" w:rsidRDefault="000D2EEF" w:rsidP="00FA76EC">
      <w:pPr>
        <w:autoSpaceDE w:val="0"/>
        <w:autoSpaceDN w:val="0"/>
        <w:adjustRightInd w:val="0"/>
        <w:jc w:val="both"/>
        <w:rPr>
          <w:lang w:val="en-GB"/>
        </w:rPr>
      </w:pPr>
    </w:p>
    <w:p w14:paraId="366EE58A" w14:textId="5768BBF8" w:rsidR="000D2EEF" w:rsidRDefault="000D2EEF" w:rsidP="00FA76EC">
      <w:pPr>
        <w:autoSpaceDE w:val="0"/>
        <w:autoSpaceDN w:val="0"/>
        <w:adjustRightInd w:val="0"/>
        <w:jc w:val="both"/>
        <w:rPr>
          <w:lang w:val="en-GB"/>
        </w:rPr>
      </w:pPr>
    </w:p>
    <w:p w14:paraId="67FFF4F4" w14:textId="61652901" w:rsidR="000D2EEF" w:rsidRDefault="000D2EEF" w:rsidP="00FA76EC">
      <w:pPr>
        <w:autoSpaceDE w:val="0"/>
        <w:autoSpaceDN w:val="0"/>
        <w:adjustRightInd w:val="0"/>
        <w:jc w:val="both"/>
        <w:rPr>
          <w:lang w:val="en-GB"/>
        </w:rPr>
      </w:pPr>
    </w:p>
    <w:p w14:paraId="00E2E894" w14:textId="1C0127BF" w:rsidR="000D2EEF" w:rsidRDefault="000D2EEF" w:rsidP="00FA76EC">
      <w:pPr>
        <w:autoSpaceDE w:val="0"/>
        <w:autoSpaceDN w:val="0"/>
        <w:adjustRightInd w:val="0"/>
        <w:jc w:val="both"/>
        <w:rPr>
          <w:lang w:val="en-GB"/>
        </w:rPr>
      </w:pPr>
    </w:p>
    <w:p w14:paraId="735E83C8" w14:textId="0BF27A3F" w:rsidR="000D2EEF" w:rsidRDefault="000D2EEF" w:rsidP="00FA76EC">
      <w:pPr>
        <w:autoSpaceDE w:val="0"/>
        <w:autoSpaceDN w:val="0"/>
        <w:adjustRightInd w:val="0"/>
        <w:jc w:val="both"/>
        <w:rPr>
          <w:lang w:val="en-GB"/>
        </w:rPr>
      </w:pPr>
    </w:p>
    <w:p w14:paraId="70487204" w14:textId="264AE6F6" w:rsidR="000D2EEF" w:rsidRDefault="000D2EEF" w:rsidP="00FA76EC">
      <w:pPr>
        <w:autoSpaceDE w:val="0"/>
        <w:autoSpaceDN w:val="0"/>
        <w:adjustRightInd w:val="0"/>
        <w:jc w:val="both"/>
        <w:rPr>
          <w:lang w:val="en-GB"/>
        </w:rPr>
      </w:pPr>
    </w:p>
    <w:p w14:paraId="228B273D" w14:textId="4F6D07A8" w:rsidR="000D2EEF" w:rsidRDefault="000D2EEF" w:rsidP="00FA76EC">
      <w:pPr>
        <w:autoSpaceDE w:val="0"/>
        <w:autoSpaceDN w:val="0"/>
        <w:adjustRightInd w:val="0"/>
        <w:jc w:val="both"/>
        <w:rPr>
          <w:lang w:val="en-GB"/>
        </w:rPr>
      </w:pPr>
    </w:p>
    <w:p w14:paraId="24CB9039" w14:textId="3068AC88" w:rsidR="000D2EEF" w:rsidRDefault="000D2EEF" w:rsidP="00FA76EC">
      <w:pPr>
        <w:autoSpaceDE w:val="0"/>
        <w:autoSpaceDN w:val="0"/>
        <w:adjustRightInd w:val="0"/>
        <w:jc w:val="both"/>
        <w:rPr>
          <w:lang w:val="en-GB"/>
        </w:rPr>
      </w:pPr>
    </w:p>
    <w:p w14:paraId="3AAF9E5F" w14:textId="7E5B687E" w:rsidR="000D2EEF" w:rsidRDefault="000D2EEF" w:rsidP="00FA76EC">
      <w:pPr>
        <w:autoSpaceDE w:val="0"/>
        <w:autoSpaceDN w:val="0"/>
        <w:adjustRightInd w:val="0"/>
        <w:jc w:val="both"/>
        <w:rPr>
          <w:lang w:val="en-GB"/>
        </w:rPr>
      </w:pPr>
    </w:p>
    <w:p w14:paraId="13C49CA4" w14:textId="78BA0495" w:rsidR="000D2EEF" w:rsidRDefault="000D2EEF" w:rsidP="00FA76EC">
      <w:pPr>
        <w:autoSpaceDE w:val="0"/>
        <w:autoSpaceDN w:val="0"/>
        <w:adjustRightInd w:val="0"/>
        <w:jc w:val="both"/>
        <w:rPr>
          <w:lang w:val="en-GB"/>
        </w:rPr>
      </w:pPr>
    </w:p>
    <w:p w14:paraId="134ED380" w14:textId="52148348" w:rsidR="000D2EEF" w:rsidRDefault="000D2EEF" w:rsidP="00FA76EC">
      <w:pPr>
        <w:autoSpaceDE w:val="0"/>
        <w:autoSpaceDN w:val="0"/>
        <w:adjustRightInd w:val="0"/>
        <w:jc w:val="both"/>
        <w:rPr>
          <w:lang w:val="en-GB"/>
        </w:rPr>
      </w:pPr>
    </w:p>
    <w:p w14:paraId="77FD3A51" w14:textId="48B33B79" w:rsidR="000D2EEF" w:rsidRDefault="000D2EEF" w:rsidP="00FA76EC">
      <w:pPr>
        <w:autoSpaceDE w:val="0"/>
        <w:autoSpaceDN w:val="0"/>
        <w:adjustRightInd w:val="0"/>
        <w:jc w:val="both"/>
        <w:rPr>
          <w:lang w:val="en-GB"/>
        </w:rPr>
      </w:pPr>
    </w:p>
    <w:p w14:paraId="1EFD6926" w14:textId="7AB7A8A0" w:rsidR="000D2EEF" w:rsidRDefault="000D2EEF" w:rsidP="00FA76EC">
      <w:pPr>
        <w:autoSpaceDE w:val="0"/>
        <w:autoSpaceDN w:val="0"/>
        <w:adjustRightInd w:val="0"/>
        <w:jc w:val="both"/>
        <w:rPr>
          <w:lang w:val="en-GB"/>
        </w:rPr>
      </w:pPr>
    </w:p>
    <w:p w14:paraId="72CCE973" w14:textId="3A24CD33" w:rsidR="000D2EEF" w:rsidRDefault="000D2EEF" w:rsidP="00FA76EC">
      <w:pPr>
        <w:autoSpaceDE w:val="0"/>
        <w:autoSpaceDN w:val="0"/>
        <w:adjustRightInd w:val="0"/>
        <w:jc w:val="both"/>
        <w:rPr>
          <w:lang w:val="en-GB"/>
        </w:rPr>
      </w:pPr>
    </w:p>
    <w:p w14:paraId="30E0F113" w14:textId="77777777" w:rsidR="000D2EEF" w:rsidRDefault="000D2EEF" w:rsidP="00FA76EC">
      <w:pPr>
        <w:autoSpaceDE w:val="0"/>
        <w:autoSpaceDN w:val="0"/>
        <w:adjustRightInd w:val="0"/>
        <w:jc w:val="both"/>
        <w:rPr>
          <w:lang w:val="en-GB"/>
        </w:rPr>
      </w:pPr>
    </w:p>
    <w:p w14:paraId="4170AF96" w14:textId="0ABB755D" w:rsidR="00586FD5" w:rsidRPr="000D2EEF" w:rsidRDefault="003E1942" w:rsidP="003E1942">
      <w:pPr>
        <w:autoSpaceDE w:val="0"/>
        <w:autoSpaceDN w:val="0"/>
        <w:adjustRightInd w:val="0"/>
        <w:spacing w:line="480" w:lineRule="auto"/>
        <w:jc w:val="both"/>
        <w:rPr>
          <w:rFonts w:asciiTheme="majorBidi" w:hAnsiTheme="majorBidi" w:cstheme="majorBidi"/>
          <w:b/>
          <w:bCs/>
          <w:lang w:val="en-GB"/>
        </w:rPr>
      </w:pPr>
      <w:r w:rsidRPr="000D2EEF">
        <w:rPr>
          <w:rFonts w:asciiTheme="majorBidi" w:hAnsiTheme="majorBidi" w:cstheme="majorBidi"/>
          <w:b/>
          <w:bCs/>
          <w:lang w:val="en-GB"/>
        </w:rPr>
        <w:t>Reference</w:t>
      </w:r>
    </w:p>
    <w:p w14:paraId="23B6F610" w14:textId="7E98799B" w:rsidR="003E1942" w:rsidRDefault="003E1942" w:rsidP="000D2EEF">
      <w:pPr>
        <w:ind w:left="567" w:hanging="425"/>
        <w:rPr>
          <w:noProof/>
          <w:lang w:val="en-GB"/>
        </w:rPr>
      </w:pPr>
      <w:r>
        <w:rPr>
          <w:rFonts w:asciiTheme="majorBidi" w:hAnsiTheme="majorBidi" w:cstheme="majorBidi"/>
          <w:lang w:val="en-GB"/>
        </w:rPr>
        <w:lastRenderedPageBreak/>
        <w:fldChar w:fldCharType="begin" w:fldLock="1"/>
      </w:r>
      <w:r>
        <w:rPr>
          <w:rFonts w:asciiTheme="majorBidi" w:hAnsiTheme="majorBidi" w:cstheme="majorBidi"/>
          <w:lang w:val="en-GB"/>
        </w:rPr>
        <w:instrText xml:space="preserve">ADDIN Mendeley Bibliography CSL_BIBLIOGRAPHY </w:instrText>
      </w:r>
      <w:r>
        <w:rPr>
          <w:rFonts w:asciiTheme="majorBidi" w:hAnsiTheme="majorBidi" w:cstheme="majorBidi"/>
          <w:lang w:val="en-GB"/>
        </w:rPr>
        <w:fldChar w:fldCharType="separate"/>
      </w:r>
      <w:r w:rsidRPr="003E1942">
        <w:rPr>
          <w:noProof/>
          <w:lang w:val="en-GB"/>
        </w:rPr>
        <w:t xml:space="preserve">Abu-Rish, E. </w:t>
      </w:r>
      <w:r w:rsidRPr="003E1942">
        <w:rPr>
          <w:i/>
          <w:iCs/>
          <w:noProof/>
          <w:lang w:val="en-GB"/>
        </w:rPr>
        <w:t>et al.</w:t>
      </w:r>
      <w:r w:rsidRPr="003E1942">
        <w:rPr>
          <w:noProof/>
          <w:lang w:val="en-GB"/>
        </w:rPr>
        <w:t xml:space="preserve"> (2012) ‘Current trends in interprofessional education of health sciences students: A literature review’, </w:t>
      </w:r>
      <w:r w:rsidRPr="003E1942">
        <w:rPr>
          <w:i/>
          <w:iCs/>
          <w:noProof/>
          <w:lang w:val="en-GB"/>
        </w:rPr>
        <w:t>Journal of interprofessional care</w:t>
      </w:r>
      <w:r w:rsidRPr="003E1942">
        <w:rPr>
          <w:noProof/>
          <w:lang w:val="en-GB"/>
        </w:rPr>
        <w:t>, 26(6), pp. 444–451.</w:t>
      </w:r>
    </w:p>
    <w:p w14:paraId="3A7E34D5" w14:textId="77777777" w:rsidR="000D2EEF" w:rsidRDefault="000D2EEF" w:rsidP="000D2EEF">
      <w:pPr>
        <w:ind w:left="567" w:hanging="425"/>
        <w:rPr>
          <w:noProof/>
          <w:lang w:val="en-GB"/>
        </w:rPr>
      </w:pPr>
    </w:p>
    <w:p w14:paraId="7F555115" w14:textId="7D8B2940" w:rsidR="003E1942" w:rsidRDefault="003E1942" w:rsidP="000D2EEF">
      <w:pPr>
        <w:ind w:left="567" w:hanging="425"/>
        <w:rPr>
          <w:rFonts w:asciiTheme="majorBidi" w:hAnsiTheme="majorBidi" w:cstheme="majorBidi"/>
          <w:color w:val="000000"/>
          <w:shd w:val="clear" w:color="auto" w:fill="FFFFFF"/>
        </w:rPr>
      </w:pPr>
      <w:r w:rsidRPr="003E1942">
        <w:rPr>
          <w:rFonts w:asciiTheme="majorBidi" w:hAnsiTheme="majorBidi" w:cstheme="majorBidi"/>
          <w:color w:val="000000"/>
          <w:shd w:val="clear" w:color="auto" w:fill="FFFFFF"/>
        </w:rPr>
        <w:t>AIHW Indigenous HPF. 2020.</w:t>
      </w:r>
      <w:r w:rsidRPr="003E1942">
        <w:rPr>
          <w:rStyle w:val="apple-converted-space"/>
          <w:rFonts w:asciiTheme="majorBidi" w:hAnsiTheme="majorBidi" w:cstheme="majorBidi"/>
          <w:color w:val="000000"/>
          <w:shd w:val="clear" w:color="auto" w:fill="FFFFFF"/>
        </w:rPr>
        <w:t> </w:t>
      </w:r>
      <w:r w:rsidRPr="003E1942">
        <w:rPr>
          <w:rFonts w:asciiTheme="majorBidi" w:hAnsiTheme="majorBidi" w:cstheme="majorBidi"/>
          <w:i/>
          <w:iCs/>
          <w:color w:val="000000"/>
        </w:rPr>
        <w:t>Transport</w:t>
      </w:r>
      <w:r w:rsidRPr="003E1942">
        <w:rPr>
          <w:rFonts w:asciiTheme="majorBidi" w:hAnsiTheme="majorBidi" w:cstheme="majorBidi"/>
          <w:color w:val="000000"/>
          <w:shd w:val="clear" w:color="auto" w:fill="FFFFFF"/>
        </w:rPr>
        <w:t xml:space="preserve">. [online] Available at: </w:t>
      </w:r>
      <w:hyperlink r:id="rId6" w:history="1">
        <w:r w:rsidRPr="003E1942">
          <w:rPr>
            <w:rStyle w:val="Hyperlink"/>
            <w:rFonts w:asciiTheme="majorBidi" w:hAnsiTheme="majorBidi" w:cstheme="majorBidi"/>
            <w:shd w:val="clear" w:color="auto" w:fill="FFFFFF"/>
          </w:rPr>
          <w:t>https://www.indigenoushpf.gov.au/measures/2-13-transport#references</w:t>
        </w:r>
      </w:hyperlink>
      <w:r w:rsidRPr="003E1942">
        <w:rPr>
          <w:rFonts w:asciiTheme="majorBidi" w:hAnsiTheme="majorBidi" w:cstheme="majorBidi"/>
          <w:color w:val="000000"/>
          <w:shd w:val="clear" w:color="auto" w:fill="FFFFFF"/>
          <w:lang w:val="en-US"/>
        </w:rPr>
        <w:t xml:space="preserve"> </w:t>
      </w:r>
      <w:r w:rsidRPr="003E1942">
        <w:rPr>
          <w:rFonts w:asciiTheme="majorBidi" w:hAnsiTheme="majorBidi" w:cstheme="majorBidi"/>
          <w:color w:val="000000"/>
          <w:shd w:val="clear" w:color="auto" w:fill="FFFFFF"/>
        </w:rPr>
        <w:t xml:space="preserve"> [Accessed 4 May 2021].</w:t>
      </w:r>
    </w:p>
    <w:p w14:paraId="5EBA7961" w14:textId="77777777" w:rsidR="000D2EEF" w:rsidRDefault="000D2EEF" w:rsidP="000D2EEF">
      <w:pPr>
        <w:ind w:left="567" w:hanging="425"/>
        <w:rPr>
          <w:rFonts w:asciiTheme="majorBidi" w:hAnsiTheme="majorBidi" w:cstheme="majorBidi"/>
          <w:lang w:val="en-US"/>
        </w:rPr>
      </w:pPr>
    </w:p>
    <w:p w14:paraId="6148ECE3" w14:textId="32CF6544" w:rsidR="003E1942" w:rsidRDefault="003E1942" w:rsidP="000D2EEF">
      <w:pPr>
        <w:ind w:left="567" w:hanging="425"/>
        <w:rPr>
          <w:noProof/>
          <w:lang w:val="en-GB"/>
        </w:rPr>
      </w:pPr>
      <w:r w:rsidRPr="003E1942">
        <w:rPr>
          <w:noProof/>
          <w:lang w:val="en-GB"/>
        </w:rPr>
        <w:t xml:space="preserve">Aspin, C. </w:t>
      </w:r>
      <w:r w:rsidRPr="003E1942">
        <w:rPr>
          <w:i/>
          <w:iCs/>
          <w:noProof/>
          <w:lang w:val="en-GB"/>
        </w:rPr>
        <w:t>et al.</w:t>
      </w:r>
      <w:r w:rsidRPr="003E1942">
        <w:rPr>
          <w:noProof/>
          <w:lang w:val="en-GB"/>
        </w:rPr>
        <w:t xml:space="preserve"> (2012) ‘Strategic approaches to enhanced health service delivery for Aboriginal and Torres Strait Islander people with chronic illness: a qualitative study’, </w:t>
      </w:r>
      <w:r w:rsidRPr="003E1942">
        <w:rPr>
          <w:i/>
          <w:iCs/>
          <w:noProof/>
          <w:lang w:val="en-GB"/>
        </w:rPr>
        <w:t>BMC health services research</w:t>
      </w:r>
      <w:r w:rsidRPr="003E1942">
        <w:rPr>
          <w:noProof/>
          <w:lang w:val="en-GB"/>
        </w:rPr>
        <w:t>, 12(1), pp. 1–9.</w:t>
      </w:r>
    </w:p>
    <w:p w14:paraId="596CB22D" w14:textId="77777777" w:rsidR="000D2EEF" w:rsidRDefault="000D2EEF" w:rsidP="000D2EEF">
      <w:pPr>
        <w:ind w:left="567" w:hanging="425"/>
        <w:rPr>
          <w:noProof/>
          <w:lang w:val="en-GB"/>
        </w:rPr>
      </w:pPr>
    </w:p>
    <w:p w14:paraId="655751DC" w14:textId="39FC4556" w:rsidR="003E1942" w:rsidRDefault="003E1942" w:rsidP="000D2EEF">
      <w:pPr>
        <w:ind w:left="567" w:hanging="425"/>
        <w:rPr>
          <w:rFonts w:asciiTheme="majorBidi" w:hAnsiTheme="majorBidi" w:cstheme="majorBidi"/>
          <w:color w:val="000000"/>
          <w:shd w:val="clear" w:color="auto" w:fill="FFFFFF"/>
          <w:lang w:val="en-US"/>
        </w:rPr>
      </w:pPr>
      <w:r w:rsidRPr="003E1942">
        <w:rPr>
          <w:rFonts w:asciiTheme="majorBidi" w:hAnsiTheme="majorBidi" w:cstheme="majorBidi"/>
          <w:color w:val="000000"/>
          <w:shd w:val="clear" w:color="auto" w:fill="FFFFFF"/>
        </w:rPr>
        <w:t>Australian Government|Australian Institute of Health and Welfare. 2019</w:t>
      </w:r>
      <w:r>
        <w:rPr>
          <w:rFonts w:asciiTheme="majorBidi" w:hAnsiTheme="majorBidi" w:cstheme="majorBidi"/>
          <w:color w:val="000000"/>
          <w:shd w:val="clear" w:color="auto" w:fill="FFFFFF"/>
          <w:lang w:val="en-US"/>
        </w:rPr>
        <w:t>a</w:t>
      </w:r>
      <w:r w:rsidRPr="003E1942">
        <w:rPr>
          <w:rFonts w:asciiTheme="majorBidi" w:hAnsiTheme="majorBidi" w:cstheme="majorBidi"/>
          <w:color w:val="000000"/>
          <w:shd w:val="clear" w:color="auto" w:fill="FFFFFF"/>
        </w:rPr>
        <w:t>.</w:t>
      </w:r>
      <w:r w:rsidRPr="003E1942">
        <w:rPr>
          <w:rStyle w:val="apple-converted-space"/>
          <w:rFonts w:asciiTheme="majorBidi" w:hAnsiTheme="majorBidi" w:cstheme="majorBidi"/>
          <w:color w:val="000000"/>
          <w:shd w:val="clear" w:color="auto" w:fill="FFFFFF"/>
        </w:rPr>
        <w:t> </w:t>
      </w:r>
      <w:r w:rsidRPr="003E1942">
        <w:rPr>
          <w:rFonts w:asciiTheme="majorBidi" w:hAnsiTheme="majorBidi" w:cstheme="majorBidi"/>
          <w:i/>
          <w:iCs/>
          <w:color w:val="000000"/>
        </w:rPr>
        <w:t>Indigenous employment</w:t>
      </w:r>
      <w:r w:rsidRPr="003E1942">
        <w:rPr>
          <w:rFonts w:asciiTheme="majorBidi" w:hAnsiTheme="majorBidi" w:cstheme="majorBidi"/>
          <w:color w:val="000000"/>
          <w:shd w:val="clear" w:color="auto" w:fill="FFFFFF"/>
        </w:rPr>
        <w:t xml:space="preserve">. [online] Available at: </w:t>
      </w:r>
      <w:hyperlink r:id="rId7" w:history="1">
        <w:r w:rsidRPr="003E1942">
          <w:rPr>
            <w:rStyle w:val="Hyperlink"/>
            <w:rFonts w:asciiTheme="majorBidi" w:hAnsiTheme="majorBidi" w:cstheme="majorBidi"/>
            <w:shd w:val="clear" w:color="auto" w:fill="FFFFFF"/>
          </w:rPr>
          <w:t>https://www.aihw.gov.au/reports/australias-welfare/indigenous-employment</w:t>
        </w:r>
      </w:hyperlink>
      <w:r w:rsidRPr="003E1942">
        <w:rPr>
          <w:rFonts w:asciiTheme="majorBidi" w:hAnsiTheme="majorBidi" w:cstheme="majorBidi"/>
          <w:color w:val="000000"/>
          <w:shd w:val="clear" w:color="auto" w:fill="FFFFFF"/>
          <w:lang w:val="en-US"/>
        </w:rPr>
        <w:t xml:space="preserve"> </w:t>
      </w:r>
    </w:p>
    <w:p w14:paraId="1DFCB7AE" w14:textId="77777777" w:rsidR="000D2EEF" w:rsidRPr="003E1942" w:rsidRDefault="000D2EEF" w:rsidP="000D2EEF">
      <w:pPr>
        <w:ind w:left="567" w:hanging="425"/>
        <w:rPr>
          <w:rFonts w:asciiTheme="majorBidi" w:hAnsiTheme="majorBidi" w:cstheme="majorBidi"/>
          <w:lang w:val="en-US"/>
        </w:rPr>
      </w:pPr>
    </w:p>
    <w:p w14:paraId="71874CF9" w14:textId="031F53F9" w:rsidR="003E1942" w:rsidRDefault="003E1942" w:rsidP="000D2EEF">
      <w:pPr>
        <w:ind w:left="567" w:hanging="425"/>
        <w:rPr>
          <w:rFonts w:asciiTheme="majorBidi" w:hAnsiTheme="majorBidi" w:cstheme="majorBidi"/>
          <w:color w:val="000000"/>
          <w:shd w:val="clear" w:color="auto" w:fill="FFFFFF"/>
          <w:lang w:val="en-US"/>
        </w:rPr>
      </w:pPr>
      <w:r w:rsidRPr="003E1942">
        <w:rPr>
          <w:rFonts w:asciiTheme="majorBidi" w:hAnsiTheme="majorBidi" w:cstheme="majorBidi"/>
          <w:color w:val="000000"/>
          <w:shd w:val="clear" w:color="auto" w:fill="FFFFFF"/>
        </w:rPr>
        <w:t>Australian Government|Australian Institute of Health and Welfare. 2019</w:t>
      </w:r>
      <w:r>
        <w:rPr>
          <w:rFonts w:asciiTheme="majorBidi" w:hAnsiTheme="majorBidi" w:cstheme="majorBidi"/>
          <w:color w:val="000000"/>
          <w:shd w:val="clear" w:color="auto" w:fill="FFFFFF"/>
          <w:lang w:val="en-US"/>
        </w:rPr>
        <w:t>b</w:t>
      </w:r>
      <w:r w:rsidRPr="003E1942">
        <w:rPr>
          <w:rFonts w:asciiTheme="majorBidi" w:hAnsiTheme="majorBidi" w:cstheme="majorBidi"/>
          <w:color w:val="000000"/>
          <w:shd w:val="clear" w:color="auto" w:fill="FFFFFF"/>
        </w:rPr>
        <w:t>.</w:t>
      </w:r>
      <w:r w:rsidRPr="003E1942">
        <w:rPr>
          <w:rStyle w:val="apple-converted-space"/>
          <w:rFonts w:asciiTheme="majorBidi" w:hAnsiTheme="majorBidi" w:cstheme="majorBidi"/>
          <w:color w:val="000000"/>
          <w:shd w:val="clear" w:color="auto" w:fill="FFFFFF"/>
        </w:rPr>
        <w:t> </w:t>
      </w:r>
      <w:r w:rsidRPr="003E1942">
        <w:rPr>
          <w:rFonts w:asciiTheme="majorBidi" w:hAnsiTheme="majorBidi" w:cstheme="majorBidi"/>
          <w:i/>
          <w:iCs/>
          <w:color w:val="000000"/>
        </w:rPr>
        <w:t>Indigenous housing</w:t>
      </w:r>
      <w:r w:rsidRPr="003E1942">
        <w:rPr>
          <w:rFonts w:asciiTheme="majorBidi" w:hAnsiTheme="majorBidi" w:cstheme="majorBidi"/>
          <w:color w:val="000000"/>
          <w:shd w:val="clear" w:color="auto" w:fill="FFFFFF"/>
        </w:rPr>
        <w:t xml:space="preserve">. [online] Available at: </w:t>
      </w:r>
      <w:hyperlink r:id="rId8" w:history="1">
        <w:r w:rsidRPr="003E1942">
          <w:rPr>
            <w:rStyle w:val="Hyperlink"/>
            <w:rFonts w:asciiTheme="majorBidi" w:hAnsiTheme="majorBidi" w:cstheme="majorBidi"/>
            <w:shd w:val="clear" w:color="auto" w:fill="FFFFFF"/>
          </w:rPr>
          <w:t>https://www.aihw.gov.au/reports/australias-welfare/indigenous-housing</w:t>
        </w:r>
      </w:hyperlink>
      <w:r w:rsidRPr="003E1942">
        <w:rPr>
          <w:rFonts w:asciiTheme="majorBidi" w:hAnsiTheme="majorBidi" w:cstheme="majorBidi"/>
          <w:color w:val="000000"/>
          <w:shd w:val="clear" w:color="auto" w:fill="FFFFFF"/>
          <w:lang w:val="en-US"/>
        </w:rPr>
        <w:t xml:space="preserve"> </w:t>
      </w:r>
    </w:p>
    <w:p w14:paraId="63E52F0D" w14:textId="77777777" w:rsidR="000D2EEF" w:rsidRDefault="000D2EEF" w:rsidP="000D2EEF">
      <w:pPr>
        <w:ind w:left="567" w:hanging="425"/>
        <w:rPr>
          <w:rFonts w:asciiTheme="majorBidi" w:hAnsiTheme="majorBidi" w:cstheme="majorBidi"/>
          <w:color w:val="000000"/>
          <w:shd w:val="clear" w:color="auto" w:fill="FFFFFF"/>
          <w:lang w:val="en-US"/>
        </w:rPr>
      </w:pPr>
    </w:p>
    <w:p w14:paraId="5044C92F" w14:textId="6A4AFD62" w:rsidR="000D2EEF" w:rsidRDefault="000D2EEF" w:rsidP="000D2EEF">
      <w:pPr>
        <w:ind w:left="567" w:hanging="567"/>
        <w:rPr>
          <w:rFonts w:asciiTheme="majorBidi" w:hAnsiTheme="majorBidi" w:cstheme="majorBidi"/>
          <w:color w:val="000000"/>
          <w:shd w:val="clear" w:color="auto" w:fill="FFFFFF"/>
          <w:lang w:val="en-US"/>
        </w:rPr>
      </w:pPr>
      <w:r w:rsidRPr="003E1942">
        <w:rPr>
          <w:rFonts w:asciiTheme="majorBidi" w:hAnsiTheme="majorBidi" w:cstheme="majorBidi"/>
          <w:color w:val="000000"/>
          <w:shd w:val="clear" w:color="auto" w:fill="FFFFFF"/>
        </w:rPr>
        <w:t>Australian government| Department of Education Skills and Employment. 2021.</w:t>
      </w:r>
      <w:r w:rsidRPr="003E1942">
        <w:rPr>
          <w:rStyle w:val="apple-converted-space"/>
          <w:rFonts w:asciiTheme="majorBidi" w:hAnsiTheme="majorBidi" w:cstheme="majorBidi"/>
          <w:color w:val="000000"/>
          <w:shd w:val="clear" w:color="auto" w:fill="FFFFFF"/>
        </w:rPr>
        <w:t> </w:t>
      </w:r>
      <w:r w:rsidRPr="003E1942">
        <w:rPr>
          <w:rFonts w:asciiTheme="majorBidi" w:hAnsiTheme="majorBidi" w:cstheme="majorBidi"/>
          <w:i/>
          <w:iCs/>
          <w:color w:val="000000"/>
        </w:rPr>
        <w:t>What is the Australian Government doing to support Aboriginal and Torres Strait Islander students in schools?</w:t>
      </w:r>
      <w:r w:rsidRPr="003E1942">
        <w:rPr>
          <w:rFonts w:asciiTheme="majorBidi" w:hAnsiTheme="majorBidi" w:cstheme="majorBidi"/>
          <w:color w:val="000000"/>
          <w:shd w:val="clear" w:color="auto" w:fill="FFFFFF"/>
        </w:rPr>
        <w:t xml:space="preserve">. [online] Available at: </w:t>
      </w:r>
      <w:hyperlink r:id="rId9" w:history="1">
        <w:r w:rsidRPr="003E1942">
          <w:rPr>
            <w:rStyle w:val="Hyperlink"/>
            <w:rFonts w:asciiTheme="majorBidi" w:hAnsiTheme="majorBidi" w:cstheme="majorBidi"/>
            <w:shd w:val="clear" w:color="auto" w:fill="FFFFFF"/>
          </w:rPr>
          <w:t>https://www.dese.gov.au/quality-schools-package/fact-sheets/what-australian-government-doing-support-aboriginal-and-torres-strait-islander-students-schools</w:t>
        </w:r>
      </w:hyperlink>
      <w:r w:rsidRPr="003E1942">
        <w:rPr>
          <w:rFonts w:asciiTheme="majorBidi" w:hAnsiTheme="majorBidi" w:cstheme="majorBidi"/>
          <w:color w:val="000000"/>
          <w:shd w:val="clear" w:color="auto" w:fill="FFFFFF"/>
          <w:lang w:val="en-US"/>
        </w:rPr>
        <w:t xml:space="preserve"> </w:t>
      </w:r>
    </w:p>
    <w:p w14:paraId="59E78C84" w14:textId="77777777" w:rsidR="000D2EEF" w:rsidRPr="000D2EEF" w:rsidRDefault="000D2EEF" w:rsidP="000D2EEF">
      <w:pPr>
        <w:ind w:left="567" w:hanging="567"/>
        <w:rPr>
          <w:rFonts w:asciiTheme="majorBidi" w:hAnsiTheme="majorBidi" w:cstheme="majorBidi"/>
          <w:lang w:val="en-US"/>
        </w:rPr>
      </w:pPr>
    </w:p>
    <w:p w14:paraId="4A261933" w14:textId="7ABC447F" w:rsidR="000D2EEF" w:rsidRDefault="000D2EEF" w:rsidP="000D2EEF">
      <w:pPr>
        <w:ind w:left="567" w:hanging="425"/>
        <w:rPr>
          <w:rFonts w:asciiTheme="majorBidi" w:hAnsiTheme="majorBidi" w:cstheme="majorBidi"/>
          <w:lang w:val="en-US"/>
        </w:rPr>
      </w:pPr>
      <w:r w:rsidRPr="003E1942">
        <w:rPr>
          <w:rFonts w:asciiTheme="majorBidi" w:hAnsiTheme="majorBidi" w:cstheme="majorBidi"/>
          <w:color w:val="000000"/>
          <w:shd w:val="clear" w:color="auto" w:fill="FFFFFF"/>
        </w:rPr>
        <w:t>Australian Institute of Health and Welfare. 2021.</w:t>
      </w:r>
      <w:r w:rsidRPr="003E1942">
        <w:rPr>
          <w:rStyle w:val="apple-converted-space"/>
          <w:rFonts w:asciiTheme="majorBidi" w:hAnsiTheme="majorBidi" w:cstheme="majorBidi"/>
          <w:color w:val="000000"/>
          <w:shd w:val="clear" w:color="auto" w:fill="FFFFFF"/>
        </w:rPr>
        <w:t> </w:t>
      </w:r>
      <w:r w:rsidRPr="003E1942">
        <w:rPr>
          <w:rFonts w:asciiTheme="majorBidi" w:hAnsiTheme="majorBidi" w:cstheme="majorBidi"/>
          <w:i/>
          <w:iCs/>
          <w:color w:val="000000"/>
        </w:rPr>
        <w:t>Rural and remote health - Australian Institute of Health and Welfare</w:t>
      </w:r>
      <w:r w:rsidRPr="003E1942">
        <w:rPr>
          <w:rFonts w:asciiTheme="majorBidi" w:hAnsiTheme="majorBidi" w:cstheme="majorBidi"/>
          <w:color w:val="000000"/>
          <w:shd w:val="clear" w:color="auto" w:fill="FFFFFF"/>
        </w:rPr>
        <w:t xml:space="preserve">. [online] Available at: </w:t>
      </w:r>
      <w:hyperlink r:id="rId10" w:history="1">
        <w:r w:rsidRPr="003E1942">
          <w:rPr>
            <w:rStyle w:val="Hyperlink"/>
            <w:rFonts w:asciiTheme="majorBidi" w:hAnsiTheme="majorBidi" w:cstheme="majorBidi"/>
            <w:shd w:val="clear" w:color="auto" w:fill="FFFFFF"/>
          </w:rPr>
          <w:t>https://www.aihw.gov.au/reports/australias-health/rural-and-remote-health</w:t>
        </w:r>
      </w:hyperlink>
      <w:r w:rsidRPr="003E1942">
        <w:rPr>
          <w:rFonts w:asciiTheme="majorBidi" w:hAnsiTheme="majorBidi" w:cstheme="majorBidi"/>
          <w:color w:val="000000"/>
          <w:shd w:val="clear" w:color="auto" w:fill="FFFFFF"/>
          <w:lang w:val="en-US"/>
        </w:rPr>
        <w:t xml:space="preserve"> </w:t>
      </w:r>
      <w:r w:rsidRPr="003E1942">
        <w:rPr>
          <w:rFonts w:asciiTheme="majorBidi" w:hAnsiTheme="majorBidi" w:cstheme="majorBidi"/>
          <w:color w:val="000000"/>
          <w:shd w:val="clear" w:color="auto" w:fill="FFFFFF"/>
        </w:rPr>
        <w:t xml:space="preserve"> [Accessed 4 May 2021]</w:t>
      </w:r>
      <w:r w:rsidRPr="003E1942">
        <w:rPr>
          <w:rFonts w:asciiTheme="majorBidi" w:hAnsiTheme="majorBidi" w:cstheme="majorBidi"/>
          <w:color w:val="000000"/>
          <w:shd w:val="clear" w:color="auto" w:fill="FFFFFF"/>
          <w:lang w:val="en-US"/>
        </w:rPr>
        <w:t>.</w:t>
      </w:r>
    </w:p>
    <w:p w14:paraId="7512CD99" w14:textId="23067DB8" w:rsidR="003E1942" w:rsidRDefault="003E1942" w:rsidP="000D2EEF">
      <w:pPr>
        <w:ind w:left="567" w:hanging="425"/>
        <w:rPr>
          <w:noProof/>
          <w:lang w:val="en-GB"/>
        </w:rPr>
      </w:pPr>
      <w:r w:rsidRPr="003E1942">
        <w:rPr>
          <w:noProof/>
          <w:lang w:val="en-GB"/>
        </w:rPr>
        <w:t xml:space="preserve">Bodkin-Andrews, G. and Carlson, B. (2016) ‘The legacy of racism and Indigenous Australian identity within education’, </w:t>
      </w:r>
      <w:r w:rsidRPr="003E1942">
        <w:rPr>
          <w:i/>
          <w:iCs/>
          <w:noProof/>
          <w:lang w:val="en-GB"/>
        </w:rPr>
        <w:t>Race Ethnicity and Education</w:t>
      </w:r>
      <w:r w:rsidRPr="003E1942">
        <w:rPr>
          <w:noProof/>
          <w:lang w:val="en-GB"/>
        </w:rPr>
        <w:t>, 19(4), pp. 784–807. doi: 10.1080/13613324.2014.969224.</w:t>
      </w:r>
    </w:p>
    <w:p w14:paraId="4B11C68C" w14:textId="77777777" w:rsidR="000D2EEF" w:rsidRDefault="000D2EEF" w:rsidP="000D2EEF">
      <w:pPr>
        <w:ind w:left="567" w:hanging="425"/>
        <w:rPr>
          <w:rFonts w:asciiTheme="majorBidi" w:hAnsiTheme="majorBidi" w:cstheme="majorBidi"/>
          <w:lang w:val="en-US"/>
        </w:rPr>
      </w:pPr>
    </w:p>
    <w:p w14:paraId="3716FA03" w14:textId="03FAC660" w:rsidR="003E1942" w:rsidRDefault="003E1942" w:rsidP="000D2EEF">
      <w:pPr>
        <w:ind w:left="567" w:hanging="425"/>
        <w:rPr>
          <w:noProof/>
          <w:lang w:val="en-GB"/>
        </w:rPr>
      </w:pPr>
      <w:r w:rsidRPr="003E1942">
        <w:rPr>
          <w:noProof/>
          <w:lang w:val="en-GB"/>
        </w:rPr>
        <w:t xml:space="preserve">Braveman, P. and Gottlieb, L. (2014) ‘The social determinants of health: it’s time to consider the causes of the causes’, </w:t>
      </w:r>
      <w:r w:rsidRPr="003E1942">
        <w:rPr>
          <w:i/>
          <w:iCs/>
          <w:noProof/>
          <w:lang w:val="en-GB"/>
        </w:rPr>
        <w:t>Public health reports (Washington, D.C. : 1974)</w:t>
      </w:r>
      <w:r w:rsidRPr="003E1942">
        <w:rPr>
          <w:noProof/>
          <w:lang w:val="en-GB"/>
        </w:rPr>
        <w:t>, 129 Suppl 2(Suppl 2), pp. 19–31. doi: 10.1177/00333549141291S206.</w:t>
      </w:r>
    </w:p>
    <w:p w14:paraId="4698F85D" w14:textId="77777777" w:rsidR="000D2EEF" w:rsidRDefault="000D2EEF" w:rsidP="000D2EEF">
      <w:pPr>
        <w:ind w:left="567" w:hanging="425"/>
        <w:rPr>
          <w:rFonts w:asciiTheme="majorBidi" w:hAnsiTheme="majorBidi" w:cstheme="majorBidi"/>
          <w:lang w:val="en-US"/>
        </w:rPr>
      </w:pPr>
    </w:p>
    <w:p w14:paraId="78356C66" w14:textId="757CD70E" w:rsidR="003E1942" w:rsidRDefault="003E1942" w:rsidP="000D2EEF">
      <w:pPr>
        <w:ind w:left="567" w:hanging="425"/>
        <w:rPr>
          <w:noProof/>
          <w:lang w:val="en-GB"/>
        </w:rPr>
      </w:pPr>
      <w:r w:rsidRPr="003E1942">
        <w:rPr>
          <w:noProof/>
          <w:lang w:val="en-GB"/>
        </w:rPr>
        <w:t xml:space="preserve">Ewing, B. </w:t>
      </w:r>
      <w:r w:rsidRPr="003E1942">
        <w:rPr>
          <w:i/>
          <w:iCs/>
          <w:noProof/>
          <w:lang w:val="en-GB"/>
        </w:rPr>
        <w:t>et al.</w:t>
      </w:r>
      <w:r w:rsidRPr="003E1942">
        <w:rPr>
          <w:noProof/>
          <w:lang w:val="en-GB"/>
        </w:rPr>
        <w:t xml:space="preserve"> (2017) ‘Access to sustainable employment and productive training: workplace participation strategies for Indigenous employees’, </w:t>
      </w:r>
      <w:r w:rsidRPr="003E1942">
        <w:rPr>
          <w:i/>
          <w:iCs/>
          <w:noProof/>
          <w:lang w:val="en-GB"/>
        </w:rPr>
        <w:t>Australian Aboriginal Studies</w:t>
      </w:r>
      <w:r w:rsidRPr="003E1942">
        <w:rPr>
          <w:noProof/>
          <w:lang w:val="en-GB"/>
        </w:rPr>
        <w:t>, (2), pp. 27–42.</w:t>
      </w:r>
    </w:p>
    <w:p w14:paraId="51533B08" w14:textId="77777777" w:rsidR="000D2EEF" w:rsidRDefault="000D2EEF" w:rsidP="000D2EEF">
      <w:pPr>
        <w:ind w:left="567" w:hanging="425"/>
        <w:rPr>
          <w:rFonts w:asciiTheme="majorBidi" w:hAnsiTheme="majorBidi" w:cstheme="majorBidi"/>
          <w:lang w:val="en-US"/>
        </w:rPr>
      </w:pPr>
    </w:p>
    <w:p w14:paraId="2CAF65DF" w14:textId="010C80FF" w:rsidR="003E1942" w:rsidRDefault="003E1942" w:rsidP="000D2EEF">
      <w:pPr>
        <w:ind w:left="567" w:hanging="425"/>
        <w:rPr>
          <w:noProof/>
          <w:lang w:val="en-GB"/>
        </w:rPr>
      </w:pPr>
      <w:r w:rsidRPr="003E1942">
        <w:rPr>
          <w:noProof/>
          <w:lang w:val="en-GB"/>
        </w:rPr>
        <w:t xml:space="preserve">Kaplan, R. M., Spittel, M. L. and Zeno, T. L. (2014) ‘Educational attainment and life expectancy’, </w:t>
      </w:r>
      <w:r w:rsidRPr="003E1942">
        <w:rPr>
          <w:i/>
          <w:iCs/>
          <w:noProof/>
          <w:lang w:val="en-GB"/>
        </w:rPr>
        <w:t>Policy Insights from the Behavioral and Brain Sciences</w:t>
      </w:r>
      <w:r w:rsidRPr="003E1942">
        <w:rPr>
          <w:noProof/>
          <w:lang w:val="en-GB"/>
        </w:rPr>
        <w:t>, 1(1), pp. 189–194.</w:t>
      </w:r>
    </w:p>
    <w:p w14:paraId="57BD5701" w14:textId="77777777" w:rsidR="000D2EEF" w:rsidRDefault="000D2EEF" w:rsidP="000D2EEF">
      <w:pPr>
        <w:ind w:left="567" w:hanging="425"/>
        <w:rPr>
          <w:rFonts w:asciiTheme="majorBidi" w:hAnsiTheme="majorBidi" w:cstheme="majorBidi"/>
          <w:lang w:val="en-US"/>
        </w:rPr>
      </w:pPr>
    </w:p>
    <w:p w14:paraId="5F4F518F" w14:textId="15BFAD30" w:rsidR="003E1942" w:rsidRDefault="003E1942" w:rsidP="000D2EEF">
      <w:pPr>
        <w:ind w:left="567" w:hanging="425"/>
        <w:rPr>
          <w:noProof/>
          <w:lang w:val="en-GB"/>
        </w:rPr>
      </w:pPr>
      <w:r w:rsidRPr="003E1942">
        <w:rPr>
          <w:noProof/>
          <w:lang w:val="en-GB"/>
        </w:rPr>
        <w:t xml:space="preserve">Lowell, A. </w:t>
      </w:r>
      <w:r w:rsidRPr="003E1942">
        <w:rPr>
          <w:i/>
          <w:iCs/>
          <w:noProof/>
          <w:lang w:val="en-GB"/>
        </w:rPr>
        <w:t>et al.</w:t>
      </w:r>
      <w:r w:rsidRPr="003E1942">
        <w:rPr>
          <w:noProof/>
          <w:lang w:val="en-GB"/>
        </w:rPr>
        <w:t xml:space="preserve"> (2018) ‘The “invisible homeless”–challenges faced by families bringing up their children in a remote Australian Aboriginal community’, </w:t>
      </w:r>
      <w:r w:rsidRPr="003E1942">
        <w:rPr>
          <w:i/>
          <w:iCs/>
          <w:noProof/>
          <w:lang w:val="en-GB"/>
        </w:rPr>
        <w:t>BMC public health</w:t>
      </w:r>
      <w:r w:rsidRPr="003E1942">
        <w:rPr>
          <w:noProof/>
          <w:lang w:val="en-GB"/>
        </w:rPr>
        <w:t>, 18(1), pp. 1–14.</w:t>
      </w:r>
    </w:p>
    <w:p w14:paraId="7563D7FC" w14:textId="77777777" w:rsidR="000D2EEF" w:rsidRDefault="000D2EEF" w:rsidP="000D2EEF">
      <w:pPr>
        <w:ind w:left="567" w:hanging="425"/>
        <w:rPr>
          <w:rFonts w:asciiTheme="majorBidi" w:hAnsiTheme="majorBidi" w:cstheme="majorBidi"/>
          <w:lang w:val="en-US"/>
        </w:rPr>
      </w:pPr>
    </w:p>
    <w:p w14:paraId="3DD4D11A" w14:textId="1261DEAD" w:rsidR="003E1942" w:rsidRDefault="003E1942" w:rsidP="000D2EEF">
      <w:pPr>
        <w:ind w:left="567" w:hanging="425"/>
        <w:rPr>
          <w:noProof/>
          <w:lang w:val="en-GB"/>
        </w:rPr>
      </w:pPr>
      <w:r w:rsidRPr="003E1942">
        <w:rPr>
          <w:noProof/>
          <w:lang w:val="en-GB"/>
        </w:rPr>
        <w:lastRenderedPageBreak/>
        <w:t xml:space="preserve">Luy, M. </w:t>
      </w:r>
      <w:r w:rsidRPr="003E1942">
        <w:rPr>
          <w:i/>
          <w:iCs/>
          <w:noProof/>
          <w:lang w:val="en-GB"/>
        </w:rPr>
        <w:t>et al.</w:t>
      </w:r>
      <w:r w:rsidRPr="003E1942">
        <w:rPr>
          <w:noProof/>
          <w:lang w:val="en-GB"/>
        </w:rPr>
        <w:t xml:space="preserve"> (2019) ‘The impact of increasing education levels on rising life expectancy: a decomposition analysis for Italy, Denmark, and the USA’, </w:t>
      </w:r>
      <w:r w:rsidRPr="003E1942">
        <w:rPr>
          <w:i/>
          <w:iCs/>
          <w:noProof/>
          <w:lang w:val="en-GB"/>
        </w:rPr>
        <w:t>Genus</w:t>
      </w:r>
      <w:r w:rsidRPr="003E1942">
        <w:rPr>
          <w:noProof/>
          <w:lang w:val="en-GB"/>
        </w:rPr>
        <w:t>, 75(1), p. 11. doi: 10.1186/s41118-019-0055-0.</w:t>
      </w:r>
    </w:p>
    <w:p w14:paraId="4FA85DB3" w14:textId="77777777" w:rsidR="000D2EEF" w:rsidRDefault="000D2EEF" w:rsidP="000D2EEF">
      <w:pPr>
        <w:ind w:left="567" w:hanging="425"/>
        <w:rPr>
          <w:rFonts w:asciiTheme="majorBidi" w:hAnsiTheme="majorBidi" w:cstheme="majorBidi"/>
          <w:lang w:val="en-US"/>
        </w:rPr>
      </w:pPr>
    </w:p>
    <w:p w14:paraId="3FF6B172" w14:textId="091F877A" w:rsidR="003E1942" w:rsidRDefault="003E1942" w:rsidP="000D2EEF">
      <w:pPr>
        <w:ind w:left="567" w:hanging="425"/>
        <w:rPr>
          <w:noProof/>
          <w:lang w:val="en-GB"/>
        </w:rPr>
      </w:pPr>
      <w:r w:rsidRPr="003E1942">
        <w:rPr>
          <w:noProof/>
          <w:lang w:val="en-GB"/>
        </w:rPr>
        <w:t xml:space="preserve">Markwick, A. </w:t>
      </w:r>
      <w:r w:rsidRPr="003E1942">
        <w:rPr>
          <w:i/>
          <w:iCs/>
          <w:noProof/>
          <w:lang w:val="en-GB"/>
        </w:rPr>
        <w:t>et al.</w:t>
      </w:r>
      <w:r w:rsidRPr="003E1942">
        <w:rPr>
          <w:noProof/>
          <w:lang w:val="en-GB"/>
        </w:rPr>
        <w:t xml:space="preserve"> (2014) ‘Inequalities in the social determinants of health of Aboriginal and Torres Strait Islander People: a cross-sectional population-based study in the Australian state of Victoria’, </w:t>
      </w:r>
      <w:r w:rsidRPr="003E1942">
        <w:rPr>
          <w:i/>
          <w:iCs/>
          <w:noProof/>
          <w:lang w:val="en-GB"/>
        </w:rPr>
        <w:t>International Journal for Equity in Health</w:t>
      </w:r>
      <w:r w:rsidRPr="003E1942">
        <w:rPr>
          <w:noProof/>
          <w:lang w:val="en-GB"/>
        </w:rPr>
        <w:t>, 13(1), p. 91. doi: 10.1186/s12939-014-0091-5.</w:t>
      </w:r>
    </w:p>
    <w:p w14:paraId="199D18EE" w14:textId="77777777" w:rsidR="000D2EEF" w:rsidRDefault="000D2EEF" w:rsidP="000D2EEF">
      <w:pPr>
        <w:ind w:left="567" w:hanging="425"/>
        <w:rPr>
          <w:rFonts w:asciiTheme="majorBidi" w:hAnsiTheme="majorBidi" w:cstheme="majorBidi"/>
          <w:lang w:val="en-US"/>
        </w:rPr>
      </w:pPr>
    </w:p>
    <w:p w14:paraId="63286F8F" w14:textId="3AD2327C" w:rsidR="003E1942" w:rsidRDefault="003E1942" w:rsidP="000D2EEF">
      <w:pPr>
        <w:ind w:left="567" w:hanging="425"/>
        <w:rPr>
          <w:noProof/>
          <w:lang w:val="en-GB"/>
        </w:rPr>
      </w:pPr>
      <w:r w:rsidRPr="003E1942">
        <w:rPr>
          <w:noProof/>
          <w:lang w:val="en-GB"/>
        </w:rPr>
        <w:t xml:space="preserve">Marmot, M. (2011) ‘Social determinants and the health of Indigenous Australians’, </w:t>
      </w:r>
      <w:r w:rsidRPr="003E1942">
        <w:rPr>
          <w:i/>
          <w:iCs/>
          <w:noProof/>
          <w:lang w:val="en-GB"/>
        </w:rPr>
        <w:t>Med J Aust</w:t>
      </w:r>
      <w:r w:rsidRPr="003E1942">
        <w:rPr>
          <w:noProof/>
          <w:lang w:val="en-GB"/>
        </w:rPr>
        <w:t>, 194(10), pp. 512–513.</w:t>
      </w:r>
    </w:p>
    <w:p w14:paraId="2CE79896" w14:textId="77777777" w:rsidR="000D2EEF" w:rsidRDefault="000D2EEF" w:rsidP="000D2EEF">
      <w:pPr>
        <w:ind w:left="567" w:hanging="425"/>
        <w:rPr>
          <w:rFonts w:asciiTheme="majorBidi" w:hAnsiTheme="majorBidi" w:cstheme="majorBidi"/>
          <w:lang w:val="en-US"/>
        </w:rPr>
      </w:pPr>
    </w:p>
    <w:p w14:paraId="177D7E76" w14:textId="4BD58EA7" w:rsidR="003E1942" w:rsidRDefault="003E1942" w:rsidP="000D2EEF">
      <w:pPr>
        <w:ind w:left="567" w:hanging="425"/>
        <w:rPr>
          <w:noProof/>
          <w:lang w:val="en-GB"/>
        </w:rPr>
      </w:pPr>
      <w:r w:rsidRPr="003E1942">
        <w:rPr>
          <w:noProof/>
          <w:lang w:val="en-GB"/>
        </w:rPr>
        <w:t xml:space="preserve">Milligan, V. </w:t>
      </w:r>
      <w:r w:rsidRPr="003E1942">
        <w:rPr>
          <w:i/>
          <w:iCs/>
          <w:noProof/>
          <w:lang w:val="en-GB"/>
        </w:rPr>
        <w:t>et al.</w:t>
      </w:r>
      <w:r w:rsidRPr="003E1942">
        <w:rPr>
          <w:noProof/>
          <w:lang w:val="en-GB"/>
        </w:rPr>
        <w:t xml:space="preserve"> (2011) ‘Urban social housing for Aboriginal people and Torres Strait Islanders: respecting culture and adapting services’, </w:t>
      </w:r>
      <w:r w:rsidRPr="003E1942">
        <w:rPr>
          <w:i/>
          <w:iCs/>
          <w:noProof/>
          <w:lang w:val="en-GB"/>
        </w:rPr>
        <w:t>AHURI Final Report</w:t>
      </w:r>
      <w:r w:rsidRPr="003E1942">
        <w:rPr>
          <w:noProof/>
          <w:lang w:val="en-GB"/>
        </w:rPr>
        <w:t>, (172), pp. 1–131.</w:t>
      </w:r>
    </w:p>
    <w:p w14:paraId="5ACE868A" w14:textId="77777777" w:rsidR="000D2EEF" w:rsidRDefault="000D2EEF" w:rsidP="000D2EEF">
      <w:pPr>
        <w:ind w:left="567" w:hanging="425"/>
        <w:rPr>
          <w:rFonts w:asciiTheme="majorBidi" w:hAnsiTheme="majorBidi" w:cstheme="majorBidi"/>
          <w:lang w:val="en-US"/>
        </w:rPr>
      </w:pPr>
    </w:p>
    <w:p w14:paraId="66A73FDA" w14:textId="400C4F39" w:rsidR="003E1942" w:rsidRDefault="003E1942" w:rsidP="000D2EEF">
      <w:pPr>
        <w:ind w:left="567" w:hanging="425"/>
        <w:rPr>
          <w:noProof/>
          <w:lang w:val="en-GB"/>
        </w:rPr>
      </w:pPr>
      <w:r w:rsidRPr="003E1942">
        <w:rPr>
          <w:noProof/>
          <w:lang w:val="en-GB"/>
        </w:rPr>
        <w:t xml:space="preserve">Pechenkina, E., Kowal, E. and Paradies, Y. (2011) ‘Indigenous Australian students’ participation rates in higher education: Exploring the role of universities’, </w:t>
      </w:r>
      <w:r w:rsidRPr="003E1942">
        <w:rPr>
          <w:i/>
          <w:iCs/>
          <w:noProof/>
          <w:lang w:val="en-GB"/>
        </w:rPr>
        <w:t>The Australian Journal of Indigenous Education</w:t>
      </w:r>
      <w:r w:rsidRPr="003E1942">
        <w:rPr>
          <w:noProof/>
          <w:lang w:val="en-GB"/>
        </w:rPr>
        <w:t>, 40, pp. 59–68.</w:t>
      </w:r>
    </w:p>
    <w:p w14:paraId="3348178C" w14:textId="77777777" w:rsidR="000D2EEF" w:rsidRDefault="000D2EEF" w:rsidP="000D2EEF">
      <w:pPr>
        <w:ind w:left="567" w:hanging="425"/>
        <w:rPr>
          <w:rFonts w:asciiTheme="majorBidi" w:hAnsiTheme="majorBidi" w:cstheme="majorBidi"/>
          <w:lang w:val="en-US"/>
        </w:rPr>
      </w:pPr>
    </w:p>
    <w:p w14:paraId="6CC87948" w14:textId="6FBC2787" w:rsidR="003E1942" w:rsidRDefault="003E1942" w:rsidP="000D2EEF">
      <w:pPr>
        <w:ind w:left="567" w:hanging="425"/>
        <w:rPr>
          <w:noProof/>
          <w:lang w:val="en-GB"/>
        </w:rPr>
      </w:pPr>
      <w:r w:rsidRPr="003E1942">
        <w:rPr>
          <w:noProof/>
          <w:lang w:val="en-GB"/>
        </w:rPr>
        <w:t xml:space="preserve">Pharr, J. R., Moonie, S. and Bungum, T. J. (2012) ‘The Impact of Unemployment on Mental and Physical Health, Access to Health Care and Health Risk Behaviors’, </w:t>
      </w:r>
      <w:r w:rsidRPr="003E1942">
        <w:rPr>
          <w:i/>
          <w:iCs/>
          <w:noProof/>
          <w:lang w:val="en-GB"/>
        </w:rPr>
        <w:t>ISRN Public Health</w:t>
      </w:r>
      <w:r w:rsidRPr="003E1942">
        <w:rPr>
          <w:noProof/>
          <w:lang w:val="en-GB"/>
        </w:rPr>
        <w:t>. Edited by M. F. Allam, P. Bendtsen, and E. A. Al-Faris, 2012, p. 483432. doi: 10.5402/2012/483432.</w:t>
      </w:r>
    </w:p>
    <w:p w14:paraId="204565CC" w14:textId="77777777" w:rsidR="000D2EEF" w:rsidRDefault="000D2EEF" w:rsidP="000D2EEF">
      <w:pPr>
        <w:ind w:left="567" w:hanging="425"/>
        <w:rPr>
          <w:rFonts w:asciiTheme="majorBidi" w:hAnsiTheme="majorBidi" w:cstheme="majorBidi"/>
          <w:lang w:val="en-US"/>
        </w:rPr>
      </w:pPr>
    </w:p>
    <w:p w14:paraId="0E0A5491" w14:textId="77777777" w:rsidR="003E1942" w:rsidRDefault="003E1942" w:rsidP="000D2EEF">
      <w:pPr>
        <w:ind w:left="567" w:hanging="425"/>
        <w:rPr>
          <w:rFonts w:asciiTheme="majorBidi" w:hAnsiTheme="majorBidi" w:cstheme="majorBidi"/>
          <w:lang w:val="en-US"/>
        </w:rPr>
      </w:pPr>
      <w:r w:rsidRPr="003E1942">
        <w:rPr>
          <w:noProof/>
          <w:lang w:val="en-GB"/>
        </w:rPr>
        <w:t xml:space="preserve">Raerino, K., Macmillan, A. K. and Jones, R. G. (2013) ‘Indigenous Māori perspectives on urban transport patterns linked to health and wellbeing’, </w:t>
      </w:r>
      <w:r w:rsidRPr="003E1942">
        <w:rPr>
          <w:i/>
          <w:iCs/>
          <w:noProof/>
          <w:lang w:val="en-GB"/>
        </w:rPr>
        <w:t>Health &amp; place</w:t>
      </w:r>
      <w:r w:rsidRPr="003E1942">
        <w:rPr>
          <w:noProof/>
          <w:lang w:val="en-GB"/>
        </w:rPr>
        <w:t>, 23, pp. 54–62.</w:t>
      </w:r>
    </w:p>
    <w:p w14:paraId="7000A26C" w14:textId="77777777" w:rsidR="003E1942" w:rsidRDefault="003E1942" w:rsidP="000D2EEF">
      <w:pPr>
        <w:ind w:left="567" w:hanging="425"/>
        <w:rPr>
          <w:rFonts w:asciiTheme="majorBidi" w:hAnsiTheme="majorBidi" w:cstheme="majorBidi"/>
          <w:lang w:val="en-US"/>
        </w:rPr>
      </w:pPr>
      <w:r w:rsidRPr="003E1942">
        <w:rPr>
          <w:noProof/>
          <w:lang w:val="en-GB"/>
        </w:rPr>
        <w:t xml:space="preserve">Rosier, K. and McDonald, M. (2011) </w:t>
      </w:r>
      <w:r w:rsidRPr="003E1942">
        <w:rPr>
          <w:i/>
          <w:iCs/>
          <w:noProof/>
          <w:lang w:val="en-GB"/>
        </w:rPr>
        <w:t>The relationship between transport and disadvantage in Australia</w:t>
      </w:r>
      <w:r w:rsidRPr="003E1942">
        <w:rPr>
          <w:noProof/>
          <w:lang w:val="en-GB"/>
        </w:rPr>
        <w:t>. Australian Institute of Family Studies.</w:t>
      </w:r>
    </w:p>
    <w:p w14:paraId="1061EA75" w14:textId="215F1169" w:rsidR="003E1942" w:rsidRDefault="003E1942" w:rsidP="000D2EEF">
      <w:pPr>
        <w:ind w:left="567" w:hanging="425"/>
        <w:rPr>
          <w:noProof/>
          <w:lang w:val="en-GB"/>
        </w:rPr>
      </w:pPr>
      <w:r w:rsidRPr="003E1942">
        <w:rPr>
          <w:noProof/>
          <w:lang w:val="en-GB"/>
        </w:rPr>
        <w:t xml:space="preserve">Walter, M. (2016) ‘Social exclusion/inclusion for urban Aboriginal and Torres Strait Islander people’, </w:t>
      </w:r>
      <w:r w:rsidRPr="003E1942">
        <w:rPr>
          <w:i/>
          <w:iCs/>
          <w:noProof/>
          <w:lang w:val="en-GB"/>
        </w:rPr>
        <w:t>Social Inclusion</w:t>
      </w:r>
      <w:r w:rsidRPr="003E1942">
        <w:rPr>
          <w:noProof/>
          <w:lang w:val="en-GB"/>
        </w:rPr>
        <w:t>, 4(1), pp. 68–76.</w:t>
      </w:r>
    </w:p>
    <w:p w14:paraId="572BBBDD" w14:textId="77777777" w:rsidR="000D2EEF" w:rsidRDefault="000D2EEF" w:rsidP="000D2EEF">
      <w:pPr>
        <w:ind w:left="567" w:hanging="425"/>
        <w:rPr>
          <w:rFonts w:asciiTheme="majorBidi" w:hAnsiTheme="majorBidi" w:cstheme="majorBidi"/>
          <w:lang w:val="en-US"/>
        </w:rPr>
      </w:pPr>
    </w:p>
    <w:p w14:paraId="0D99C01C" w14:textId="43D2FB81" w:rsidR="003E1942" w:rsidRDefault="003E1942" w:rsidP="000D2EEF">
      <w:pPr>
        <w:ind w:left="567" w:hanging="425"/>
        <w:rPr>
          <w:noProof/>
          <w:lang w:val="en-GB"/>
        </w:rPr>
      </w:pPr>
      <w:r w:rsidRPr="003E1942">
        <w:rPr>
          <w:noProof/>
          <w:lang w:val="en-GB"/>
        </w:rPr>
        <w:t xml:space="preserve">Wanberg, C. R. (2012) ‘The individual experience of unemployment’, </w:t>
      </w:r>
      <w:r w:rsidRPr="003E1942">
        <w:rPr>
          <w:i/>
          <w:iCs/>
          <w:noProof/>
          <w:lang w:val="en-GB"/>
        </w:rPr>
        <w:t>Annual review of psychology</w:t>
      </w:r>
      <w:r w:rsidRPr="003E1942">
        <w:rPr>
          <w:noProof/>
          <w:lang w:val="en-GB"/>
        </w:rPr>
        <w:t>, 63, pp. 369–396.</w:t>
      </w:r>
    </w:p>
    <w:p w14:paraId="10076520" w14:textId="77777777" w:rsidR="000D2EEF" w:rsidRDefault="000D2EEF" w:rsidP="000D2EEF">
      <w:pPr>
        <w:ind w:left="567" w:hanging="425"/>
        <w:rPr>
          <w:rFonts w:asciiTheme="majorBidi" w:hAnsiTheme="majorBidi" w:cstheme="majorBidi"/>
          <w:lang w:val="en-US"/>
        </w:rPr>
      </w:pPr>
    </w:p>
    <w:p w14:paraId="59A32FF4" w14:textId="06BF2743" w:rsidR="003E1942" w:rsidRDefault="003E1942" w:rsidP="000D2EEF">
      <w:pPr>
        <w:ind w:left="567" w:hanging="425"/>
        <w:rPr>
          <w:noProof/>
          <w:lang w:val="en-GB"/>
        </w:rPr>
      </w:pPr>
      <w:r w:rsidRPr="003E1942">
        <w:rPr>
          <w:noProof/>
          <w:lang w:val="en-GB"/>
        </w:rPr>
        <w:t xml:space="preserve">Ware, V. (2013) </w:t>
      </w:r>
      <w:r w:rsidRPr="003E1942">
        <w:rPr>
          <w:i/>
          <w:iCs/>
          <w:noProof/>
          <w:lang w:val="en-GB"/>
        </w:rPr>
        <w:t>Improving the accessibility of health services in urban and regional settings for Indigenous people</w:t>
      </w:r>
      <w:r w:rsidRPr="003E1942">
        <w:rPr>
          <w:noProof/>
          <w:lang w:val="en-GB"/>
        </w:rPr>
        <w:t>. Australian Institute of Health and Welfare.</w:t>
      </w:r>
    </w:p>
    <w:p w14:paraId="6E51F660" w14:textId="77777777" w:rsidR="000D2EEF" w:rsidRDefault="000D2EEF" w:rsidP="000D2EEF">
      <w:pPr>
        <w:ind w:left="567" w:hanging="425"/>
        <w:rPr>
          <w:rFonts w:asciiTheme="majorBidi" w:hAnsiTheme="majorBidi" w:cstheme="majorBidi"/>
          <w:lang w:val="en-US"/>
        </w:rPr>
      </w:pPr>
    </w:p>
    <w:p w14:paraId="15432BAE" w14:textId="5965B430" w:rsidR="003E1942" w:rsidRDefault="003E1942" w:rsidP="000D2EEF">
      <w:pPr>
        <w:ind w:left="567" w:hanging="425"/>
        <w:rPr>
          <w:noProof/>
          <w:lang w:val="en-GB"/>
        </w:rPr>
      </w:pPr>
      <w:r w:rsidRPr="003E1942">
        <w:rPr>
          <w:noProof/>
          <w:lang w:val="en-GB"/>
        </w:rPr>
        <w:t xml:space="preserve">Welfare, A. I. of H. and (2014) </w:t>
      </w:r>
      <w:r w:rsidRPr="003E1942">
        <w:rPr>
          <w:i/>
          <w:iCs/>
          <w:noProof/>
          <w:lang w:val="en-GB"/>
        </w:rPr>
        <w:t>Housing circumstances of Indigenous households: Tenure and overcrowding</w:t>
      </w:r>
      <w:r w:rsidRPr="003E1942">
        <w:rPr>
          <w:noProof/>
          <w:lang w:val="en-GB"/>
        </w:rPr>
        <w:t>. Canberra.</w:t>
      </w:r>
    </w:p>
    <w:p w14:paraId="2DBE8442" w14:textId="77777777" w:rsidR="000D2EEF" w:rsidRDefault="000D2EEF" w:rsidP="000D2EEF">
      <w:pPr>
        <w:ind w:left="567" w:hanging="425"/>
        <w:rPr>
          <w:noProof/>
          <w:lang w:val="en-GB"/>
        </w:rPr>
      </w:pPr>
    </w:p>
    <w:p w14:paraId="522F6091" w14:textId="77777777" w:rsidR="000D2EEF" w:rsidRPr="00586FD5" w:rsidRDefault="000D2EEF" w:rsidP="000D2EEF">
      <w:pPr>
        <w:ind w:left="567" w:hanging="567"/>
        <w:rPr>
          <w:rFonts w:asciiTheme="majorBidi" w:hAnsiTheme="majorBidi" w:cstheme="majorBidi"/>
          <w:lang w:val="en-US"/>
        </w:rPr>
      </w:pPr>
      <w:r w:rsidRPr="00586FD5">
        <w:rPr>
          <w:rFonts w:asciiTheme="majorBidi" w:hAnsiTheme="majorBidi" w:cstheme="majorBidi"/>
          <w:color w:val="000000"/>
          <w:shd w:val="clear" w:color="auto" w:fill="FFFFFF"/>
        </w:rPr>
        <w:t>W</w:t>
      </w:r>
      <w:r w:rsidRPr="003E1942">
        <w:rPr>
          <w:rFonts w:asciiTheme="majorBidi" w:hAnsiTheme="majorBidi" w:cstheme="majorBidi"/>
          <w:color w:val="000000"/>
          <w:shd w:val="clear" w:color="auto" w:fill="FFFFFF"/>
          <w:lang w:val="en-US"/>
        </w:rPr>
        <w:t>HO</w:t>
      </w:r>
      <w:r w:rsidRPr="00586FD5">
        <w:rPr>
          <w:rFonts w:asciiTheme="majorBidi" w:hAnsiTheme="majorBidi" w:cstheme="majorBidi"/>
          <w:color w:val="000000"/>
          <w:shd w:val="clear" w:color="auto" w:fill="FFFFFF"/>
        </w:rPr>
        <w:t>. 201</w:t>
      </w:r>
      <w:r w:rsidRPr="003E1942">
        <w:rPr>
          <w:rFonts w:asciiTheme="majorBidi" w:hAnsiTheme="majorBidi" w:cstheme="majorBidi"/>
          <w:color w:val="000000"/>
          <w:shd w:val="clear" w:color="auto" w:fill="FFFFFF"/>
          <w:lang w:val="en-US"/>
        </w:rPr>
        <w:t>3</w:t>
      </w:r>
      <w:r w:rsidRPr="00586FD5">
        <w:rPr>
          <w:rFonts w:asciiTheme="majorBidi" w:hAnsiTheme="majorBidi" w:cstheme="majorBidi"/>
          <w:color w:val="000000"/>
          <w:shd w:val="clear" w:color="auto" w:fill="FFFFFF"/>
        </w:rPr>
        <w:t>. </w:t>
      </w:r>
      <w:r w:rsidRPr="00586FD5">
        <w:rPr>
          <w:rFonts w:asciiTheme="majorBidi" w:hAnsiTheme="majorBidi" w:cstheme="majorBidi"/>
          <w:i/>
          <w:iCs/>
          <w:color w:val="000000"/>
        </w:rPr>
        <w:t>Social determinants of health</w:t>
      </w:r>
      <w:r w:rsidRPr="00586FD5">
        <w:rPr>
          <w:rFonts w:asciiTheme="majorBidi" w:hAnsiTheme="majorBidi" w:cstheme="majorBidi"/>
          <w:color w:val="000000"/>
          <w:shd w:val="clear" w:color="auto" w:fill="FFFFFF"/>
        </w:rPr>
        <w:t xml:space="preserve">. [online] Available at: </w:t>
      </w:r>
      <w:hyperlink r:id="rId11" w:history="1">
        <w:r w:rsidRPr="00586FD5">
          <w:rPr>
            <w:rStyle w:val="Hyperlink"/>
            <w:rFonts w:asciiTheme="majorBidi" w:hAnsiTheme="majorBidi" w:cstheme="majorBidi"/>
            <w:shd w:val="clear" w:color="auto" w:fill="FFFFFF"/>
          </w:rPr>
          <w:t>https://www.who.int/health-</w:t>
        </w:r>
        <w:r w:rsidRPr="00586FD5">
          <w:rPr>
            <w:rStyle w:val="Hyperlink"/>
            <w:rFonts w:asciiTheme="majorBidi" w:hAnsiTheme="majorBidi" w:cstheme="majorBidi"/>
            <w:shd w:val="clear" w:color="auto" w:fill="FFFFFF"/>
          </w:rPr>
          <w:t>t</w:t>
        </w:r>
        <w:r w:rsidRPr="00586FD5">
          <w:rPr>
            <w:rStyle w:val="Hyperlink"/>
            <w:rFonts w:asciiTheme="majorBidi" w:hAnsiTheme="majorBidi" w:cstheme="majorBidi"/>
            <w:shd w:val="clear" w:color="auto" w:fill="FFFFFF"/>
          </w:rPr>
          <w:t>opics/social-determinants-of-health#tab=tab_1</w:t>
        </w:r>
      </w:hyperlink>
      <w:r w:rsidRPr="003E1942">
        <w:rPr>
          <w:rFonts w:asciiTheme="majorBidi" w:hAnsiTheme="majorBidi" w:cstheme="majorBidi"/>
          <w:color w:val="000000"/>
          <w:shd w:val="clear" w:color="auto" w:fill="FFFFFF"/>
          <w:lang w:val="en-US"/>
        </w:rPr>
        <w:t xml:space="preserve"> </w:t>
      </w:r>
    </w:p>
    <w:p w14:paraId="19D3173E" w14:textId="77777777" w:rsidR="000D2EEF" w:rsidRPr="003E1942" w:rsidRDefault="000D2EEF" w:rsidP="000D2EEF">
      <w:pPr>
        <w:ind w:left="567" w:hanging="425"/>
        <w:rPr>
          <w:rFonts w:asciiTheme="majorBidi" w:hAnsiTheme="majorBidi" w:cstheme="majorBidi"/>
          <w:lang w:val="en-US"/>
        </w:rPr>
      </w:pPr>
    </w:p>
    <w:p w14:paraId="707A1738" w14:textId="4CEF7712" w:rsidR="003E1942" w:rsidRPr="003E1942" w:rsidRDefault="003E1942" w:rsidP="000D2EEF">
      <w:pPr>
        <w:autoSpaceDE w:val="0"/>
        <w:autoSpaceDN w:val="0"/>
        <w:adjustRightInd w:val="0"/>
        <w:jc w:val="both"/>
        <w:rPr>
          <w:rFonts w:asciiTheme="majorBidi" w:hAnsiTheme="majorBidi" w:cstheme="majorBidi"/>
          <w:lang w:val="en-GB"/>
        </w:rPr>
      </w:pPr>
      <w:r>
        <w:rPr>
          <w:rFonts w:asciiTheme="majorBidi" w:hAnsiTheme="majorBidi" w:cstheme="majorBidi"/>
          <w:lang w:val="en-GB"/>
        </w:rPr>
        <w:fldChar w:fldCharType="end"/>
      </w:r>
    </w:p>
    <w:p w14:paraId="01259993" w14:textId="1A8140E5" w:rsidR="00CC5B5E" w:rsidRDefault="00CC5B5E" w:rsidP="00CC5B5E">
      <w:pPr>
        <w:rPr>
          <w:rFonts w:ascii="Arial" w:hAnsi="Arial" w:cs="Arial"/>
          <w:color w:val="222222"/>
          <w:sz w:val="20"/>
          <w:szCs w:val="20"/>
          <w:shd w:val="clear" w:color="auto" w:fill="FFFFFF"/>
        </w:rPr>
      </w:pPr>
    </w:p>
    <w:p w14:paraId="6BA35646" w14:textId="7431B2E6" w:rsidR="00CC5B5E" w:rsidRDefault="00CC5B5E" w:rsidP="00CC5B5E">
      <w:pPr>
        <w:rPr>
          <w:rFonts w:ascii="Arial" w:hAnsi="Arial" w:cs="Arial"/>
          <w:color w:val="222222"/>
          <w:sz w:val="20"/>
          <w:szCs w:val="20"/>
          <w:shd w:val="clear" w:color="auto" w:fill="FFFFFF"/>
        </w:rPr>
      </w:pPr>
    </w:p>
    <w:p w14:paraId="31A926B4" w14:textId="413E98B0" w:rsidR="00CC5B5E" w:rsidRDefault="00CC5B5E" w:rsidP="00CC5B5E">
      <w:pPr>
        <w:rPr>
          <w:rFonts w:ascii="Arial" w:hAnsi="Arial" w:cs="Arial"/>
          <w:color w:val="222222"/>
          <w:sz w:val="20"/>
          <w:szCs w:val="20"/>
          <w:shd w:val="clear" w:color="auto" w:fill="FFFFFF"/>
        </w:rPr>
      </w:pPr>
    </w:p>
    <w:p w14:paraId="197474DA" w14:textId="23B38BAA" w:rsidR="00CC5B5E" w:rsidRDefault="00CC5B5E" w:rsidP="00CC5B5E">
      <w:pPr>
        <w:rPr>
          <w:rFonts w:ascii="Arial" w:hAnsi="Arial" w:cs="Arial"/>
          <w:color w:val="222222"/>
          <w:sz w:val="20"/>
          <w:szCs w:val="20"/>
          <w:shd w:val="clear" w:color="auto" w:fill="FFFFFF"/>
        </w:rPr>
      </w:pPr>
    </w:p>
    <w:p w14:paraId="3A01C2A3" w14:textId="7094C4CC" w:rsidR="00CC5B5E" w:rsidRDefault="00CC5B5E" w:rsidP="00CC5B5E">
      <w:pPr>
        <w:rPr>
          <w:rFonts w:ascii="Arial" w:hAnsi="Arial" w:cs="Arial"/>
          <w:color w:val="222222"/>
          <w:sz w:val="20"/>
          <w:szCs w:val="20"/>
          <w:shd w:val="clear" w:color="auto" w:fill="FFFFFF"/>
        </w:rPr>
      </w:pPr>
    </w:p>
    <w:p w14:paraId="164EC14B" w14:textId="665A2566" w:rsidR="00CC5B5E" w:rsidRDefault="00CC5B5E" w:rsidP="00CC5B5E">
      <w:pPr>
        <w:rPr>
          <w:rFonts w:ascii="Arial" w:hAnsi="Arial" w:cs="Arial"/>
          <w:color w:val="222222"/>
          <w:sz w:val="20"/>
          <w:szCs w:val="20"/>
          <w:shd w:val="clear" w:color="auto" w:fill="FFFFFF"/>
        </w:rPr>
      </w:pPr>
    </w:p>
    <w:p w14:paraId="2B599B03" w14:textId="279C9D94" w:rsidR="00CC5B5E" w:rsidRDefault="00CC5B5E" w:rsidP="00CC5B5E">
      <w:pPr>
        <w:rPr>
          <w:rFonts w:ascii="Arial" w:hAnsi="Arial" w:cs="Arial"/>
          <w:color w:val="222222"/>
          <w:sz w:val="20"/>
          <w:szCs w:val="20"/>
          <w:shd w:val="clear" w:color="auto" w:fill="FFFFFF"/>
        </w:rPr>
      </w:pPr>
    </w:p>
    <w:p w14:paraId="3E56084A" w14:textId="0588CA57" w:rsidR="00CC5B5E" w:rsidRDefault="00CC5B5E" w:rsidP="00CC5B5E">
      <w:pPr>
        <w:rPr>
          <w:rFonts w:ascii="Arial" w:hAnsi="Arial" w:cs="Arial"/>
          <w:color w:val="222222"/>
          <w:sz w:val="20"/>
          <w:szCs w:val="20"/>
          <w:shd w:val="clear" w:color="auto" w:fill="FFFFFF"/>
        </w:rPr>
      </w:pPr>
    </w:p>
    <w:p w14:paraId="6BC71BB5" w14:textId="507EE01F" w:rsidR="00CC5B5E" w:rsidRDefault="00CC5B5E" w:rsidP="00CC5B5E">
      <w:pPr>
        <w:rPr>
          <w:rFonts w:ascii="Arial" w:hAnsi="Arial" w:cs="Arial"/>
          <w:color w:val="222222"/>
          <w:sz w:val="20"/>
          <w:szCs w:val="20"/>
          <w:shd w:val="clear" w:color="auto" w:fill="FFFFFF"/>
        </w:rPr>
      </w:pPr>
    </w:p>
    <w:p w14:paraId="2E68D85C" w14:textId="074105C3" w:rsidR="00CC5B5E" w:rsidRDefault="00CC5B5E" w:rsidP="00CC5B5E">
      <w:pPr>
        <w:rPr>
          <w:rFonts w:ascii="Arial" w:hAnsi="Arial" w:cs="Arial"/>
          <w:color w:val="222222"/>
          <w:sz w:val="20"/>
          <w:szCs w:val="20"/>
          <w:shd w:val="clear" w:color="auto" w:fill="FFFFFF"/>
        </w:rPr>
      </w:pPr>
    </w:p>
    <w:p w14:paraId="6486B020" w14:textId="1E1FB4DD" w:rsidR="00CC5B5E" w:rsidRDefault="00CC5B5E" w:rsidP="00CC5B5E">
      <w:pPr>
        <w:rPr>
          <w:rFonts w:ascii="Arial" w:hAnsi="Arial" w:cs="Arial"/>
          <w:color w:val="222222"/>
          <w:sz w:val="20"/>
          <w:szCs w:val="20"/>
          <w:shd w:val="clear" w:color="auto" w:fill="FFFFFF"/>
        </w:rPr>
      </w:pPr>
    </w:p>
    <w:p w14:paraId="416A31B7" w14:textId="2202127F" w:rsidR="00CC5B5E" w:rsidRDefault="00CC5B5E" w:rsidP="00CC5B5E">
      <w:pPr>
        <w:rPr>
          <w:rFonts w:ascii="Arial" w:hAnsi="Arial" w:cs="Arial"/>
          <w:color w:val="222222"/>
          <w:sz w:val="20"/>
          <w:szCs w:val="20"/>
          <w:shd w:val="clear" w:color="auto" w:fill="FFFFFF"/>
        </w:rPr>
      </w:pPr>
    </w:p>
    <w:p w14:paraId="448C63E2" w14:textId="58E0B575" w:rsidR="00CC5B5E" w:rsidRDefault="00CC5B5E" w:rsidP="00CC5B5E">
      <w:pPr>
        <w:rPr>
          <w:rFonts w:ascii="Arial" w:hAnsi="Arial" w:cs="Arial"/>
          <w:color w:val="222222"/>
          <w:sz w:val="20"/>
          <w:szCs w:val="20"/>
          <w:shd w:val="clear" w:color="auto" w:fill="FFFFFF"/>
        </w:rPr>
      </w:pPr>
    </w:p>
    <w:p w14:paraId="3F9E39F9" w14:textId="3422D196" w:rsidR="00CC5B5E" w:rsidRDefault="00CC5B5E" w:rsidP="00CC5B5E">
      <w:pPr>
        <w:rPr>
          <w:rFonts w:ascii="Arial" w:hAnsi="Arial" w:cs="Arial"/>
          <w:color w:val="222222"/>
          <w:sz w:val="20"/>
          <w:szCs w:val="20"/>
          <w:shd w:val="clear" w:color="auto" w:fill="FFFFFF"/>
        </w:rPr>
      </w:pPr>
    </w:p>
    <w:p w14:paraId="36CF2FF3" w14:textId="456F498E" w:rsidR="00CC5B5E" w:rsidRDefault="00CC5B5E" w:rsidP="00CC5B5E">
      <w:pPr>
        <w:rPr>
          <w:rFonts w:ascii="Arial" w:hAnsi="Arial" w:cs="Arial"/>
          <w:color w:val="222222"/>
          <w:sz w:val="20"/>
          <w:szCs w:val="20"/>
          <w:shd w:val="clear" w:color="auto" w:fill="FFFFFF"/>
        </w:rPr>
      </w:pPr>
    </w:p>
    <w:p w14:paraId="5965A2FA" w14:textId="2B2A3B38" w:rsidR="00CC5B5E" w:rsidRDefault="00CC5B5E" w:rsidP="00CC5B5E">
      <w:pPr>
        <w:rPr>
          <w:rFonts w:ascii="Arial" w:hAnsi="Arial" w:cs="Arial"/>
          <w:color w:val="222222"/>
          <w:sz w:val="20"/>
          <w:szCs w:val="20"/>
          <w:shd w:val="clear" w:color="auto" w:fill="FFFFFF"/>
        </w:rPr>
      </w:pPr>
    </w:p>
    <w:p w14:paraId="0E2EAA7D" w14:textId="2F4F3A67" w:rsidR="00CC5B5E" w:rsidRDefault="00CC5B5E" w:rsidP="00CC5B5E">
      <w:pPr>
        <w:rPr>
          <w:rFonts w:ascii="Arial" w:hAnsi="Arial" w:cs="Arial"/>
          <w:color w:val="222222"/>
          <w:sz w:val="20"/>
          <w:szCs w:val="20"/>
          <w:shd w:val="clear" w:color="auto" w:fill="FFFFFF"/>
        </w:rPr>
      </w:pPr>
    </w:p>
    <w:p w14:paraId="0D8055B7" w14:textId="0F650E39" w:rsidR="00CC5B5E" w:rsidRDefault="00CC5B5E" w:rsidP="00CC5B5E">
      <w:pPr>
        <w:rPr>
          <w:rFonts w:ascii="Arial" w:hAnsi="Arial" w:cs="Arial"/>
          <w:color w:val="222222"/>
          <w:sz w:val="20"/>
          <w:szCs w:val="20"/>
          <w:shd w:val="clear" w:color="auto" w:fill="FFFFFF"/>
        </w:rPr>
      </w:pPr>
    </w:p>
    <w:p w14:paraId="32DF51C9" w14:textId="77777777" w:rsidR="00CC5B5E" w:rsidRDefault="00CC5B5E" w:rsidP="00CC5B5E"/>
    <w:p w14:paraId="58F3DAF9" w14:textId="77777777" w:rsidR="00586FD5" w:rsidRPr="00FA76EC" w:rsidRDefault="00586FD5" w:rsidP="00FA76EC">
      <w:pPr>
        <w:autoSpaceDE w:val="0"/>
        <w:autoSpaceDN w:val="0"/>
        <w:adjustRightInd w:val="0"/>
        <w:jc w:val="both"/>
        <w:rPr>
          <w:lang w:val="en-GB"/>
        </w:rPr>
      </w:pPr>
    </w:p>
    <w:sectPr w:rsidR="00586FD5" w:rsidRPr="00FA7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7226F"/>
    <w:multiLevelType w:val="multilevel"/>
    <w:tmpl w:val="6802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D063F"/>
    <w:multiLevelType w:val="hybridMultilevel"/>
    <w:tmpl w:val="5D7CD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0C2D9F"/>
    <w:multiLevelType w:val="hybridMultilevel"/>
    <w:tmpl w:val="BC56D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6EC"/>
    <w:rsid w:val="000964A3"/>
    <w:rsid w:val="00097660"/>
    <w:rsid w:val="000D2EEF"/>
    <w:rsid w:val="001A03D5"/>
    <w:rsid w:val="001E0420"/>
    <w:rsid w:val="00233CDF"/>
    <w:rsid w:val="00242A09"/>
    <w:rsid w:val="0027116F"/>
    <w:rsid w:val="002A7A1A"/>
    <w:rsid w:val="00311C36"/>
    <w:rsid w:val="003941A1"/>
    <w:rsid w:val="003E1942"/>
    <w:rsid w:val="004D77CF"/>
    <w:rsid w:val="004E1C6C"/>
    <w:rsid w:val="00575E0E"/>
    <w:rsid w:val="00586FD5"/>
    <w:rsid w:val="005A73B5"/>
    <w:rsid w:val="005D0107"/>
    <w:rsid w:val="006809A9"/>
    <w:rsid w:val="006B0405"/>
    <w:rsid w:val="00797070"/>
    <w:rsid w:val="007E27EF"/>
    <w:rsid w:val="0082203E"/>
    <w:rsid w:val="00862F7A"/>
    <w:rsid w:val="008A2052"/>
    <w:rsid w:val="008B46A6"/>
    <w:rsid w:val="008F3AF8"/>
    <w:rsid w:val="009011D4"/>
    <w:rsid w:val="00907FD7"/>
    <w:rsid w:val="00927855"/>
    <w:rsid w:val="00971085"/>
    <w:rsid w:val="009813A4"/>
    <w:rsid w:val="00986AD6"/>
    <w:rsid w:val="009A5A84"/>
    <w:rsid w:val="009B7316"/>
    <w:rsid w:val="009E39FF"/>
    <w:rsid w:val="00A67573"/>
    <w:rsid w:val="00A93B9C"/>
    <w:rsid w:val="00AD31C6"/>
    <w:rsid w:val="00B26A08"/>
    <w:rsid w:val="00B36552"/>
    <w:rsid w:val="00B55D0F"/>
    <w:rsid w:val="00BD2E3C"/>
    <w:rsid w:val="00BE6A73"/>
    <w:rsid w:val="00C05339"/>
    <w:rsid w:val="00C05CFF"/>
    <w:rsid w:val="00C33E5E"/>
    <w:rsid w:val="00C67A10"/>
    <w:rsid w:val="00C93A3F"/>
    <w:rsid w:val="00CC5B5E"/>
    <w:rsid w:val="00D21615"/>
    <w:rsid w:val="00D22D4E"/>
    <w:rsid w:val="00D45C82"/>
    <w:rsid w:val="00D63AC8"/>
    <w:rsid w:val="00E2122B"/>
    <w:rsid w:val="00ED5805"/>
    <w:rsid w:val="00F03CB8"/>
    <w:rsid w:val="00F1029A"/>
    <w:rsid w:val="00FA76EC"/>
    <w:rsid w:val="00FC388A"/>
    <w:rsid w:val="00FE489B"/>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5232"/>
  <w15:chartTrackingRefBased/>
  <w15:docId w15:val="{1AB7B016-67A2-CD46-8DD0-8983EF2E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A0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1615"/>
  </w:style>
  <w:style w:type="paragraph" w:styleId="ListParagraph">
    <w:name w:val="List Paragraph"/>
    <w:basedOn w:val="Normal"/>
    <w:uiPriority w:val="34"/>
    <w:qFormat/>
    <w:rsid w:val="006B0405"/>
    <w:pPr>
      <w:ind w:left="720"/>
      <w:contextualSpacing/>
    </w:pPr>
  </w:style>
  <w:style w:type="paragraph" w:styleId="NormalWeb">
    <w:name w:val="Normal (Web)"/>
    <w:basedOn w:val="Normal"/>
    <w:uiPriority w:val="99"/>
    <w:semiHidden/>
    <w:unhideWhenUsed/>
    <w:rsid w:val="006B0405"/>
    <w:pPr>
      <w:spacing w:before="100" w:beforeAutospacing="1" w:after="100" w:afterAutospacing="1"/>
    </w:pPr>
  </w:style>
  <w:style w:type="character" w:customStyle="1" w:styleId="ref-lnk">
    <w:name w:val="ref-lnk"/>
    <w:basedOn w:val="DefaultParagraphFont"/>
    <w:rsid w:val="006B0405"/>
  </w:style>
  <w:style w:type="character" w:styleId="Hyperlink">
    <w:name w:val="Hyperlink"/>
    <w:basedOn w:val="DefaultParagraphFont"/>
    <w:uiPriority w:val="99"/>
    <w:unhideWhenUsed/>
    <w:rsid w:val="006B0405"/>
    <w:rPr>
      <w:color w:val="0000FF"/>
      <w:u w:val="single"/>
    </w:rPr>
  </w:style>
  <w:style w:type="character" w:styleId="UnresolvedMention">
    <w:name w:val="Unresolved Mention"/>
    <w:basedOn w:val="DefaultParagraphFont"/>
    <w:uiPriority w:val="99"/>
    <w:semiHidden/>
    <w:unhideWhenUsed/>
    <w:rsid w:val="00586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1840">
      <w:bodyDiv w:val="1"/>
      <w:marLeft w:val="0"/>
      <w:marRight w:val="0"/>
      <w:marTop w:val="0"/>
      <w:marBottom w:val="0"/>
      <w:divBdr>
        <w:top w:val="none" w:sz="0" w:space="0" w:color="auto"/>
        <w:left w:val="none" w:sz="0" w:space="0" w:color="auto"/>
        <w:bottom w:val="none" w:sz="0" w:space="0" w:color="auto"/>
        <w:right w:val="none" w:sz="0" w:space="0" w:color="auto"/>
      </w:divBdr>
    </w:div>
    <w:div w:id="116141017">
      <w:bodyDiv w:val="1"/>
      <w:marLeft w:val="0"/>
      <w:marRight w:val="0"/>
      <w:marTop w:val="0"/>
      <w:marBottom w:val="0"/>
      <w:divBdr>
        <w:top w:val="none" w:sz="0" w:space="0" w:color="auto"/>
        <w:left w:val="none" w:sz="0" w:space="0" w:color="auto"/>
        <w:bottom w:val="none" w:sz="0" w:space="0" w:color="auto"/>
        <w:right w:val="none" w:sz="0" w:space="0" w:color="auto"/>
      </w:divBdr>
    </w:div>
    <w:div w:id="142934766">
      <w:bodyDiv w:val="1"/>
      <w:marLeft w:val="0"/>
      <w:marRight w:val="0"/>
      <w:marTop w:val="0"/>
      <w:marBottom w:val="0"/>
      <w:divBdr>
        <w:top w:val="none" w:sz="0" w:space="0" w:color="auto"/>
        <w:left w:val="none" w:sz="0" w:space="0" w:color="auto"/>
        <w:bottom w:val="none" w:sz="0" w:space="0" w:color="auto"/>
        <w:right w:val="none" w:sz="0" w:space="0" w:color="auto"/>
      </w:divBdr>
    </w:div>
    <w:div w:id="237641379">
      <w:bodyDiv w:val="1"/>
      <w:marLeft w:val="0"/>
      <w:marRight w:val="0"/>
      <w:marTop w:val="0"/>
      <w:marBottom w:val="0"/>
      <w:divBdr>
        <w:top w:val="none" w:sz="0" w:space="0" w:color="auto"/>
        <w:left w:val="none" w:sz="0" w:space="0" w:color="auto"/>
        <w:bottom w:val="none" w:sz="0" w:space="0" w:color="auto"/>
        <w:right w:val="none" w:sz="0" w:space="0" w:color="auto"/>
      </w:divBdr>
      <w:divsChild>
        <w:div w:id="101269716">
          <w:marLeft w:val="0"/>
          <w:marRight w:val="0"/>
          <w:marTop w:val="0"/>
          <w:marBottom w:val="0"/>
          <w:divBdr>
            <w:top w:val="none" w:sz="0" w:space="0" w:color="auto"/>
            <w:left w:val="none" w:sz="0" w:space="0" w:color="auto"/>
            <w:bottom w:val="none" w:sz="0" w:space="0" w:color="auto"/>
            <w:right w:val="none" w:sz="0" w:space="0" w:color="auto"/>
          </w:divBdr>
          <w:divsChild>
            <w:div w:id="193543189">
              <w:marLeft w:val="0"/>
              <w:marRight w:val="0"/>
              <w:marTop w:val="0"/>
              <w:marBottom w:val="0"/>
              <w:divBdr>
                <w:top w:val="none" w:sz="0" w:space="0" w:color="auto"/>
                <w:left w:val="none" w:sz="0" w:space="0" w:color="auto"/>
                <w:bottom w:val="none" w:sz="0" w:space="0" w:color="auto"/>
                <w:right w:val="none" w:sz="0" w:space="0" w:color="auto"/>
              </w:divBdr>
              <w:divsChild>
                <w:div w:id="89111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4805">
      <w:bodyDiv w:val="1"/>
      <w:marLeft w:val="0"/>
      <w:marRight w:val="0"/>
      <w:marTop w:val="0"/>
      <w:marBottom w:val="0"/>
      <w:divBdr>
        <w:top w:val="none" w:sz="0" w:space="0" w:color="auto"/>
        <w:left w:val="none" w:sz="0" w:space="0" w:color="auto"/>
        <w:bottom w:val="none" w:sz="0" w:space="0" w:color="auto"/>
        <w:right w:val="none" w:sz="0" w:space="0" w:color="auto"/>
      </w:divBdr>
    </w:div>
    <w:div w:id="337080476">
      <w:bodyDiv w:val="1"/>
      <w:marLeft w:val="0"/>
      <w:marRight w:val="0"/>
      <w:marTop w:val="0"/>
      <w:marBottom w:val="0"/>
      <w:divBdr>
        <w:top w:val="none" w:sz="0" w:space="0" w:color="auto"/>
        <w:left w:val="none" w:sz="0" w:space="0" w:color="auto"/>
        <w:bottom w:val="none" w:sz="0" w:space="0" w:color="auto"/>
        <w:right w:val="none" w:sz="0" w:space="0" w:color="auto"/>
      </w:divBdr>
    </w:div>
    <w:div w:id="354234974">
      <w:bodyDiv w:val="1"/>
      <w:marLeft w:val="0"/>
      <w:marRight w:val="0"/>
      <w:marTop w:val="0"/>
      <w:marBottom w:val="0"/>
      <w:divBdr>
        <w:top w:val="none" w:sz="0" w:space="0" w:color="auto"/>
        <w:left w:val="none" w:sz="0" w:space="0" w:color="auto"/>
        <w:bottom w:val="none" w:sz="0" w:space="0" w:color="auto"/>
        <w:right w:val="none" w:sz="0" w:space="0" w:color="auto"/>
      </w:divBdr>
    </w:div>
    <w:div w:id="482476414">
      <w:bodyDiv w:val="1"/>
      <w:marLeft w:val="0"/>
      <w:marRight w:val="0"/>
      <w:marTop w:val="0"/>
      <w:marBottom w:val="0"/>
      <w:divBdr>
        <w:top w:val="none" w:sz="0" w:space="0" w:color="auto"/>
        <w:left w:val="none" w:sz="0" w:space="0" w:color="auto"/>
        <w:bottom w:val="none" w:sz="0" w:space="0" w:color="auto"/>
        <w:right w:val="none" w:sz="0" w:space="0" w:color="auto"/>
      </w:divBdr>
    </w:div>
    <w:div w:id="578906296">
      <w:bodyDiv w:val="1"/>
      <w:marLeft w:val="0"/>
      <w:marRight w:val="0"/>
      <w:marTop w:val="0"/>
      <w:marBottom w:val="0"/>
      <w:divBdr>
        <w:top w:val="none" w:sz="0" w:space="0" w:color="auto"/>
        <w:left w:val="none" w:sz="0" w:space="0" w:color="auto"/>
        <w:bottom w:val="none" w:sz="0" w:space="0" w:color="auto"/>
        <w:right w:val="none" w:sz="0" w:space="0" w:color="auto"/>
      </w:divBdr>
    </w:div>
    <w:div w:id="618495503">
      <w:bodyDiv w:val="1"/>
      <w:marLeft w:val="0"/>
      <w:marRight w:val="0"/>
      <w:marTop w:val="0"/>
      <w:marBottom w:val="0"/>
      <w:divBdr>
        <w:top w:val="none" w:sz="0" w:space="0" w:color="auto"/>
        <w:left w:val="none" w:sz="0" w:space="0" w:color="auto"/>
        <w:bottom w:val="none" w:sz="0" w:space="0" w:color="auto"/>
        <w:right w:val="none" w:sz="0" w:space="0" w:color="auto"/>
      </w:divBdr>
    </w:div>
    <w:div w:id="618537882">
      <w:bodyDiv w:val="1"/>
      <w:marLeft w:val="0"/>
      <w:marRight w:val="0"/>
      <w:marTop w:val="0"/>
      <w:marBottom w:val="0"/>
      <w:divBdr>
        <w:top w:val="none" w:sz="0" w:space="0" w:color="auto"/>
        <w:left w:val="none" w:sz="0" w:space="0" w:color="auto"/>
        <w:bottom w:val="none" w:sz="0" w:space="0" w:color="auto"/>
        <w:right w:val="none" w:sz="0" w:space="0" w:color="auto"/>
      </w:divBdr>
    </w:div>
    <w:div w:id="714622823">
      <w:bodyDiv w:val="1"/>
      <w:marLeft w:val="0"/>
      <w:marRight w:val="0"/>
      <w:marTop w:val="0"/>
      <w:marBottom w:val="0"/>
      <w:divBdr>
        <w:top w:val="none" w:sz="0" w:space="0" w:color="auto"/>
        <w:left w:val="none" w:sz="0" w:space="0" w:color="auto"/>
        <w:bottom w:val="none" w:sz="0" w:space="0" w:color="auto"/>
        <w:right w:val="none" w:sz="0" w:space="0" w:color="auto"/>
      </w:divBdr>
    </w:div>
    <w:div w:id="723916434">
      <w:bodyDiv w:val="1"/>
      <w:marLeft w:val="0"/>
      <w:marRight w:val="0"/>
      <w:marTop w:val="0"/>
      <w:marBottom w:val="0"/>
      <w:divBdr>
        <w:top w:val="none" w:sz="0" w:space="0" w:color="auto"/>
        <w:left w:val="none" w:sz="0" w:space="0" w:color="auto"/>
        <w:bottom w:val="none" w:sz="0" w:space="0" w:color="auto"/>
        <w:right w:val="none" w:sz="0" w:space="0" w:color="auto"/>
      </w:divBdr>
    </w:div>
    <w:div w:id="864562658">
      <w:bodyDiv w:val="1"/>
      <w:marLeft w:val="0"/>
      <w:marRight w:val="0"/>
      <w:marTop w:val="0"/>
      <w:marBottom w:val="0"/>
      <w:divBdr>
        <w:top w:val="none" w:sz="0" w:space="0" w:color="auto"/>
        <w:left w:val="none" w:sz="0" w:space="0" w:color="auto"/>
        <w:bottom w:val="none" w:sz="0" w:space="0" w:color="auto"/>
        <w:right w:val="none" w:sz="0" w:space="0" w:color="auto"/>
      </w:divBdr>
    </w:div>
    <w:div w:id="892544607">
      <w:bodyDiv w:val="1"/>
      <w:marLeft w:val="0"/>
      <w:marRight w:val="0"/>
      <w:marTop w:val="0"/>
      <w:marBottom w:val="0"/>
      <w:divBdr>
        <w:top w:val="none" w:sz="0" w:space="0" w:color="auto"/>
        <w:left w:val="none" w:sz="0" w:space="0" w:color="auto"/>
        <w:bottom w:val="none" w:sz="0" w:space="0" w:color="auto"/>
        <w:right w:val="none" w:sz="0" w:space="0" w:color="auto"/>
      </w:divBdr>
    </w:div>
    <w:div w:id="899513135">
      <w:bodyDiv w:val="1"/>
      <w:marLeft w:val="0"/>
      <w:marRight w:val="0"/>
      <w:marTop w:val="0"/>
      <w:marBottom w:val="0"/>
      <w:divBdr>
        <w:top w:val="none" w:sz="0" w:space="0" w:color="auto"/>
        <w:left w:val="none" w:sz="0" w:space="0" w:color="auto"/>
        <w:bottom w:val="none" w:sz="0" w:space="0" w:color="auto"/>
        <w:right w:val="none" w:sz="0" w:space="0" w:color="auto"/>
      </w:divBdr>
    </w:div>
    <w:div w:id="1156604727">
      <w:bodyDiv w:val="1"/>
      <w:marLeft w:val="0"/>
      <w:marRight w:val="0"/>
      <w:marTop w:val="0"/>
      <w:marBottom w:val="0"/>
      <w:divBdr>
        <w:top w:val="none" w:sz="0" w:space="0" w:color="auto"/>
        <w:left w:val="none" w:sz="0" w:space="0" w:color="auto"/>
        <w:bottom w:val="none" w:sz="0" w:space="0" w:color="auto"/>
        <w:right w:val="none" w:sz="0" w:space="0" w:color="auto"/>
      </w:divBdr>
    </w:div>
    <w:div w:id="1250499462">
      <w:bodyDiv w:val="1"/>
      <w:marLeft w:val="0"/>
      <w:marRight w:val="0"/>
      <w:marTop w:val="0"/>
      <w:marBottom w:val="0"/>
      <w:divBdr>
        <w:top w:val="none" w:sz="0" w:space="0" w:color="auto"/>
        <w:left w:val="none" w:sz="0" w:space="0" w:color="auto"/>
        <w:bottom w:val="none" w:sz="0" w:space="0" w:color="auto"/>
        <w:right w:val="none" w:sz="0" w:space="0" w:color="auto"/>
      </w:divBdr>
    </w:div>
    <w:div w:id="1330407612">
      <w:bodyDiv w:val="1"/>
      <w:marLeft w:val="0"/>
      <w:marRight w:val="0"/>
      <w:marTop w:val="0"/>
      <w:marBottom w:val="0"/>
      <w:divBdr>
        <w:top w:val="none" w:sz="0" w:space="0" w:color="auto"/>
        <w:left w:val="none" w:sz="0" w:space="0" w:color="auto"/>
        <w:bottom w:val="none" w:sz="0" w:space="0" w:color="auto"/>
        <w:right w:val="none" w:sz="0" w:space="0" w:color="auto"/>
      </w:divBdr>
      <w:divsChild>
        <w:div w:id="1176728916">
          <w:marLeft w:val="0"/>
          <w:marRight w:val="0"/>
          <w:marTop w:val="0"/>
          <w:marBottom w:val="0"/>
          <w:divBdr>
            <w:top w:val="none" w:sz="0" w:space="0" w:color="auto"/>
            <w:left w:val="none" w:sz="0" w:space="0" w:color="auto"/>
            <w:bottom w:val="none" w:sz="0" w:space="0" w:color="auto"/>
            <w:right w:val="none" w:sz="0" w:space="0" w:color="auto"/>
          </w:divBdr>
          <w:divsChild>
            <w:div w:id="2141923059">
              <w:marLeft w:val="0"/>
              <w:marRight w:val="0"/>
              <w:marTop w:val="0"/>
              <w:marBottom w:val="0"/>
              <w:divBdr>
                <w:top w:val="none" w:sz="0" w:space="0" w:color="auto"/>
                <w:left w:val="none" w:sz="0" w:space="0" w:color="auto"/>
                <w:bottom w:val="none" w:sz="0" w:space="0" w:color="auto"/>
                <w:right w:val="none" w:sz="0" w:space="0" w:color="auto"/>
              </w:divBdr>
              <w:divsChild>
                <w:div w:id="252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0807">
      <w:bodyDiv w:val="1"/>
      <w:marLeft w:val="0"/>
      <w:marRight w:val="0"/>
      <w:marTop w:val="0"/>
      <w:marBottom w:val="0"/>
      <w:divBdr>
        <w:top w:val="none" w:sz="0" w:space="0" w:color="auto"/>
        <w:left w:val="none" w:sz="0" w:space="0" w:color="auto"/>
        <w:bottom w:val="none" w:sz="0" w:space="0" w:color="auto"/>
        <w:right w:val="none" w:sz="0" w:space="0" w:color="auto"/>
      </w:divBdr>
    </w:div>
    <w:div w:id="1544707747">
      <w:bodyDiv w:val="1"/>
      <w:marLeft w:val="0"/>
      <w:marRight w:val="0"/>
      <w:marTop w:val="0"/>
      <w:marBottom w:val="0"/>
      <w:divBdr>
        <w:top w:val="none" w:sz="0" w:space="0" w:color="auto"/>
        <w:left w:val="none" w:sz="0" w:space="0" w:color="auto"/>
        <w:bottom w:val="none" w:sz="0" w:space="0" w:color="auto"/>
        <w:right w:val="none" w:sz="0" w:space="0" w:color="auto"/>
      </w:divBdr>
    </w:div>
    <w:div w:id="1580092751">
      <w:bodyDiv w:val="1"/>
      <w:marLeft w:val="0"/>
      <w:marRight w:val="0"/>
      <w:marTop w:val="0"/>
      <w:marBottom w:val="0"/>
      <w:divBdr>
        <w:top w:val="none" w:sz="0" w:space="0" w:color="auto"/>
        <w:left w:val="none" w:sz="0" w:space="0" w:color="auto"/>
        <w:bottom w:val="none" w:sz="0" w:space="0" w:color="auto"/>
        <w:right w:val="none" w:sz="0" w:space="0" w:color="auto"/>
      </w:divBdr>
      <w:divsChild>
        <w:div w:id="557127591">
          <w:marLeft w:val="0"/>
          <w:marRight w:val="0"/>
          <w:marTop w:val="0"/>
          <w:marBottom w:val="0"/>
          <w:divBdr>
            <w:top w:val="none" w:sz="0" w:space="0" w:color="auto"/>
            <w:left w:val="none" w:sz="0" w:space="0" w:color="auto"/>
            <w:bottom w:val="none" w:sz="0" w:space="0" w:color="auto"/>
            <w:right w:val="none" w:sz="0" w:space="0" w:color="auto"/>
          </w:divBdr>
          <w:divsChild>
            <w:div w:id="623584736">
              <w:marLeft w:val="0"/>
              <w:marRight w:val="0"/>
              <w:marTop w:val="0"/>
              <w:marBottom w:val="0"/>
              <w:divBdr>
                <w:top w:val="none" w:sz="0" w:space="0" w:color="auto"/>
                <w:left w:val="none" w:sz="0" w:space="0" w:color="auto"/>
                <w:bottom w:val="none" w:sz="0" w:space="0" w:color="auto"/>
                <w:right w:val="none" w:sz="0" w:space="0" w:color="auto"/>
              </w:divBdr>
              <w:divsChild>
                <w:div w:id="1370642889">
                  <w:marLeft w:val="0"/>
                  <w:marRight w:val="0"/>
                  <w:marTop w:val="0"/>
                  <w:marBottom w:val="0"/>
                  <w:divBdr>
                    <w:top w:val="none" w:sz="0" w:space="0" w:color="auto"/>
                    <w:left w:val="none" w:sz="0" w:space="0" w:color="auto"/>
                    <w:bottom w:val="none" w:sz="0" w:space="0" w:color="auto"/>
                    <w:right w:val="none" w:sz="0" w:space="0" w:color="auto"/>
                  </w:divBdr>
                  <w:divsChild>
                    <w:div w:id="19751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8194">
      <w:bodyDiv w:val="1"/>
      <w:marLeft w:val="0"/>
      <w:marRight w:val="0"/>
      <w:marTop w:val="0"/>
      <w:marBottom w:val="0"/>
      <w:divBdr>
        <w:top w:val="none" w:sz="0" w:space="0" w:color="auto"/>
        <w:left w:val="none" w:sz="0" w:space="0" w:color="auto"/>
        <w:bottom w:val="none" w:sz="0" w:space="0" w:color="auto"/>
        <w:right w:val="none" w:sz="0" w:space="0" w:color="auto"/>
      </w:divBdr>
      <w:divsChild>
        <w:div w:id="436757697">
          <w:marLeft w:val="0"/>
          <w:marRight w:val="0"/>
          <w:marTop w:val="0"/>
          <w:marBottom w:val="0"/>
          <w:divBdr>
            <w:top w:val="none" w:sz="0" w:space="0" w:color="auto"/>
            <w:left w:val="none" w:sz="0" w:space="0" w:color="auto"/>
            <w:bottom w:val="none" w:sz="0" w:space="0" w:color="auto"/>
            <w:right w:val="none" w:sz="0" w:space="0" w:color="auto"/>
          </w:divBdr>
          <w:divsChild>
            <w:div w:id="579681545">
              <w:marLeft w:val="0"/>
              <w:marRight w:val="0"/>
              <w:marTop w:val="0"/>
              <w:marBottom w:val="0"/>
              <w:divBdr>
                <w:top w:val="none" w:sz="0" w:space="0" w:color="auto"/>
                <w:left w:val="none" w:sz="0" w:space="0" w:color="auto"/>
                <w:bottom w:val="none" w:sz="0" w:space="0" w:color="auto"/>
                <w:right w:val="none" w:sz="0" w:space="0" w:color="auto"/>
              </w:divBdr>
              <w:divsChild>
                <w:div w:id="14211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26110">
      <w:bodyDiv w:val="1"/>
      <w:marLeft w:val="0"/>
      <w:marRight w:val="0"/>
      <w:marTop w:val="0"/>
      <w:marBottom w:val="0"/>
      <w:divBdr>
        <w:top w:val="none" w:sz="0" w:space="0" w:color="auto"/>
        <w:left w:val="none" w:sz="0" w:space="0" w:color="auto"/>
        <w:bottom w:val="none" w:sz="0" w:space="0" w:color="auto"/>
        <w:right w:val="none" w:sz="0" w:space="0" w:color="auto"/>
      </w:divBdr>
    </w:div>
    <w:div w:id="1707484653">
      <w:bodyDiv w:val="1"/>
      <w:marLeft w:val="0"/>
      <w:marRight w:val="0"/>
      <w:marTop w:val="0"/>
      <w:marBottom w:val="0"/>
      <w:divBdr>
        <w:top w:val="none" w:sz="0" w:space="0" w:color="auto"/>
        <w:left w:val="none" w:sz="0" w:space="0" w:color="auto"/>
        <w:bottom w:val="none" w:sz="0" w:space="0" w:color="auto"/>
        <w:right w:val="none" w:sz="0" w:space="0" w:color="auto"/>
      </w:divBdr>
    </w:div>
    <w:div w:id="1799302866">
      <w:bodyDiv w:val="1"/>
      <w:marLeft w:val="0"/>
      <w:marRight w:val="0"/>
      <w:marTop w:val="0"/>
      <w:marBottom w:val="0"/>
      <w:divBdr>
        <w:top w:val="none" w:sz="0" w:space="0" w:color="auto"/>
        <w:left w:val="none" w:sz="0" w:space="0" w:color="auto"/>
        <w:bottom w:val="none" w:sz="0" w:space="0" w:color="auto"/>
        <w:right w:val="none" w:sz="0" w:space="0" w:color="auto"/>
      </w:divBdr>
    </w:div>
    <w:div w:id="1816682518">
      <w:bodyDiv w:val="1"/>
      <w:marLeft w:val="0"/>
      <w:marRight w:val="0"/>
      <w:marTop w:val="0"/>
      <w:marBottom w:val="0"/>
      <w:divBdr>
        <w:top w:val="none" w:sz="0" w:space="0" w:color="auto"/>
        <w:left w:val="none" w:sz="0" w:space="0" w:color="auto"/>
        <w:bottom w:val="none" w:sz="0" w:space="0" w:color="auto"/>
        <w:right w:val="none" w:sz="0" w:space="0" w:color="auto"/>
      </w:divBdr>
    </w:div>
    <w:div w:id="1865170762">
      <w:bodyDiv w:val="1"/>
      <w:marLeft w:val="0"/>
      <w:marRight w:val="0"/>
      <w:marTop w:val="0"/>
      <w:marBottom w:val="0"/>
      <w:divBdr>
        <w:top w:val="none" w:sz="0" w:space="0" w:color="auto"/>
        <w:left w:val="none" w:sz="0" w:space="0" w:color="auto"/>
        <w:bottom w:val="none" w:sz="0" w:space="0" w:color="auto"/>
        <w:right w:val="none" w:sz="0" w:space="0" w:color="auto"/>
      </w:divBdr>
    </w:div>
    <w:div w:id="1878155416">
      <w:bodyDiv w:val="1"/>
      <w:marLeft w:val="0"/>
      <w:marRight w:val="0"/>
      <w:marTop w:val="0"/>
      <w:marBottom w:val="0"/>
      <w:divBdr>
        <w:top w:val="none" w:sz="0" w:space="0" w:color="auto"/>
        <w:left w:val="none" w:sz="0" w:space="0" w:color="auto"/>
        <w:bottom w:val="none" w:sz="0" w:space="0" w:color="auto"/>
        <w:right w:val="none" w:sz="0" w:space="0" w:color="auto"/>
      </w:divBdr>
    </w:div>
    <w:div w:id="1898588707">
      <w:bodyDiv w:val="1"/>
      <w:marLeft w:val="0"/>
      <w:marRight w:val="0"/>
      <w:marTop w:val="0"/>
      <w:marBottom w:val="0"/>
      <w:divBdr>
        <w:top w:val="none" w:sz="0" w:space="0" w:color="auto"/>
        <w:left w:val="none" w:sz="0" w:space="0" w:color="auto"/>
        <w:bottom w:val="none" w:sz="0" w:space="0" w:color="auto"/>
        <w:right w:val="none" w:sz="0" w:space="0" w:color="auto"/>
      </w:divBdr>
    </w:div>
    <w:div w:id="1950964831">
      <w:bodyDiv w:val="1"/>
      <w:marLeft w:val="0"/>
      <w:marRight w:val="0"/>
      <w:marTop w:val="0"/>
      <w:marBottom w:val="0"/>
      <w:divBdr>
        <w:top w:val="none" w:sz="0" w:space="0" w:color="auto"/>
        <w:left w:val="none" w:sz="0" w:space="0" w:color="auto"/>
        <w:bottom w:val="none" w:sz="0" w:space="0" w:color="auto"/>
        <w:right w:val="none" w:sz="0" w:space="0" w:color="auto"/>
      </w:divBdr>
    </w:div>
    <w:div w:id="2132093042">
      <w:bodyDiv w:val="1"/>
      <w:marLeft w:val="0"/>
      <w:marRight w:val="0"/>
      <w:marTop w:val="0"/>
      <w:marBottom w:val="0"/>
      <w:divBdr>
        <w:top w:val="none" w:sz="0" w:space="0" w:color="auto"/>
        <w:left w:val="none" w:sz="0" w:space="0" w:color="auto"/>
        <w:bottom w:val="none" w:sz="0" w:space="0" w:color="auto"/>
        <w:right w:val="none" w:sz="0" w:space="0" w:color="auto"/>
      </w:divBdr>
    </w:div>
    <w:div w:id="2146509783">
      <w:bodyDiv w:val="1"/>
      <w:marLeft w:val="0"/>
      <w:marRight w:val="0"/>
      <w:marTop w:val="0"/>
      <w:marBottom w:val="0"/>
      <w:divBdr>
        <w:top w:val="none" w:sz="0" w:space="0" w:color="auto"/>
        <w:left w:val="none" w:sz="0" w:space="0" w:color="auto"/>
        <w:bottom w:val="none" w:sz="0" w:space="0" w:color="auto"/>
        <w:right w:val="none" w:sz="0" w:space="0" w:color="auto"/>
      </w:divBdr>
      <w:divsChild>
        <w:div w:id="472211746">
          <w:marLeft w:val="0"/>
          <w:marRight w:val="0"/>
          <w:marTop w:val="0"/>
          <w:marBottom w:val="0"/>
          <w:divBdr>
            <w:top w:val="none" w:sz="0" w:space="0" w:color="auto"/>
            <w:left w:val="none" w:sz="0" w:space="0" w:color="auto"/>
            <w:bottom w:val="none" w:sz="0" w:space="0" w:color="auto"/>
            <w:right w:val="none" w:sz="0" w:space="0" w:color="auto"/>
          </w:divBdr>
          <w:divsChild>
            <w:div w:id="879440440">
              <w:marLeft w:val="0"/>
              <w:marRight w:val="0"/>
              <w:marTop w:val="0"/>
              <w:marBottom w:val="0"/>
              <w:divBdr>
                <w:top w:val="none" w:sz="0" w:space="0" w:color="auto"/>
                <w:left w:val="none" w:sz="0" w:space="0" w:color="auto"/>
                <w:bottom w:val="none" w:sz="0" w:space="0" w:color="auto"/>
                <w:right w:val="none" w:sz="0" w:space="0" w:color="auto"/>
              </w:divBdr>
              <w:divsChild>
                <w:div w:id="1211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hw.gov.au/reports/australias-welfare/indigenous-hous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aihw.gov.au/reports/australias-welfare/indigenous-employmen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ndigenoushpf.gov.au/measures/2-13-transport#references" TargetMode="External"/><Relationship Id="rId11" Type="http://schemas.openxmlformats.org/officeDocument/2006/relationships/hyperlink" Target="https://www.who.int/health-topics/social-determinants-of-health#tab=tab_1" TargetMode="External"/><Relationship Id="rId5" Type="http://schemas.openxmlformats.org/officeDocument/2006/relationships/webSettings" Target="webSettings.xml"/><Relationship Id="rId10" Type="http://schemas.openxmlformats.org/officeDocument/2006/relationships/hyperlink" Target="https://www.aihw.gov.au/reports/australias-health/rural-and-remote-health" TargetMode="External"/><Relationship Id="rId4" Type="http://schemas.openxmlformats.org/officeDocument/2006/relationships/settings" Target="settings.xml"/><Relationship Id="rId9" Type="http://schemas.openxmlformats.org/officeDocument/2006/relationships/hyperlink" Target="https://www.dese.gov.au/quality-schools-package/fact-sheets/what-australian-government-doing-support-aboriginal-and-torres-strait-islander-students-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7F398-0154-1F4A-9041-A64950B9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7</Pages>
  <Words>8290</Words>
  <Characters>47255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Zumama Khalid</dc:creator>
  <cp:keywords/>
  <dc:description/>
  <cp:lastModifiedBy>Zumama Khalid</cp:lastModifiedBy>
  <cp:revision>8</cp:revision>
  <dcterms:created xsi:type="dcterms:W3CDTF">2021-05-03T07:47:00Z</dcterms:created>
  <dcterms:modified xsi:type="dcterms:W3CDTF">2021-05-04T08:50:00Z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5bff6c83-1289-35ba-8b39-c752ce5cb05c</vt:lpwstr>
  </property>
  <property fmtid="{D5CDD505-2E9C-101B-9397-08002B2CF9AE}" pid="24" name="Mendeley Citation Style_1">
    <vt:lpwstr>http://www.zotero.org/styles/harvard1</vt:lpwstr>
  </property>
</Properties>
</file>